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10" w:rsidRPr="00111910" w:rsidRDefault="00111910" w:rsidP="00111910">
      <w:pPr>
        <w:suppressAutoHyphens/>
        <w:spacing w:after="0" w:line="264" w:lineRule="auto"/>
        <w:jc w:val="both"/>
        <w:rPr>
          <w:rFonts w:ascii="Times New Roman" w:hAnsi="Times New Roman" w:cs="Times New Roman"/>
          <w:b/>
        </w:rPr>
      </w:pPr>
      <w:r w:rsidRPr="00111910">
        <w:rPr>
          <w:rFonts w:ascii="Times New Roman" w:hAnsi="Times New Roman" w:cs="Times New Roman"/>
          <w:b/>
        </w:rPr>
        <w:t xml:space="preserve">Wyciąg z przepisów ustawy o samorządzie pielęgniarek i położnych z dnia 1 lipca 2011 r. (Dz.U. z 2021 r. poz. 628). </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r w:rsidRPr="00111910">
        <w:rPr>
          <w:rFonts w:ascii="Times New Roman" w:eastAsia="Times New Roman" w:hAnsi="Times New Roman" w:cs="Times New Roman"/>
          <w:b/>
          <w:bCs/>
          <w:lang w:eastAsia="pl-PL"/>
        </w:rPr>
        <w:br/>
        <w:t>Art. 8 [Kadencja organów izby]</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0" w:name="mip58375625"/>
      <w:bookmarkEnd w:id="0"/>
      <w:r w:rsidRPr="00111910">
        <w:rPr>
          <w:rFonts w:ascii="Times New Roman" w:eastAsia="Times New Roman" w:hAnsi="Times New Roman" w:cs="Times New Roman"/>
          <w:lang w:eastAsia="pl-PL"/>
        </w:rPr>
        <w:t>1. Kadencja organów izby trwa 4 lata. Organy te działają do czasu pierwszego posiedzenia nowo wybranych organów.</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 w:name="mip58375626"/>
      <w:bookmarkEnd w:id="1"/>
      <w:r w:rsidRPr="00111910">
        <w:rPr>
          <w:rFonts w:ascii="Times New Roman" w:eastAsia="Times New Roman" w:hAnsi="Times New Roman" w:cs="Times New Roman"/>
          <w:lang w:eastAsia="pl-PL"/>
        </w:rPr>
        <w:t>2. Wyboru zastępcy rzecznika odpowiedzialności zawodowej dokonuje się na okres kadencji rzecznika odpowiedzialności zawodowej. Zastępca rzecznika odpowiedzialności zawodowej pełni funkcję do czasu wyboru nowego zastępcy</w:t>
      </w:r>
      <w:bookmarkStart w:id="2" w:name="_GoBack"/>
      <w:bookmarkEnd w:id="2"/>
      <w:r w:rsidRPr="00111910">
        <w:rPr>
          <w:rFonts w:ascii="Times New Roman" w:eastAsia="Times New Roman" w:hAnsi="Times New Roman" w:cs="Times New Roman"/>
          <w:lang w:eastAsia="pl-PL"/>
        </w:rPr>
        <w:t xml:space="preserve"> rzecznika odpowiedzialności zawodowej.</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3" w:name="mip58375627"/>
      <w:bookmarkEnd w:id="3"/>
      <w:r w:rsidRPr="00111910">
        <w:rPr>
          <w:rFonts w:ascii="Times New Roman" w:eastAsia="Times New Roman" w:hAnsi="Times New Roman" w:cs="Times New Roman"/>
          <w:lang w:eastAsia="pl-PL"/>
        </w:rPr>
        <w:t>3. Funkcję:</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4" w:name="mip58375629"/>
      <w:bookmarkEnd w:id="4"/>
      <w:r w:rsidRPr="00111910">
        <w:rPr>
          <w:rFonts w:ascii="Times New Roman" w:eastAsia="Times New Roman" w:hAnsi="Times New Roman" w:cs="Times New Roman"/>
          <w:lang w:eastAsia="pl-PL"/>
        </w:rPr>
        <w:t>1) przewodniczącego okręgowej rady, wiceprzewodniczącego okręgowej rady, skarbnika okręgowej rady, przewodniczącego komisji rewizyjnej, przewodniczącego sądu pielęgniarek i położnych, okręgowego rzecznika oraz sekretarza okręgowej rady,</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5" w:name="mip58375630"/>
      <w:bookmarkEnd w:id="5"/>
      <w:r w:rsidRPr="00111910">
        <w:rPr>
          <w:rFonts w:ascii="Times New Roman" w:eastAsia="Times New Roman" w:hAnsi="Times New Roman" w:cs="Times New Roman"/>
          <w:lang w:eastAsia="pl-PL"/>
        </w:rPr>
        <w:t>2) Prezesa Naczelnej Rady, Wiceprezesa Naczelnej Rady, Skarbnika Naczelnej Rady, Przewodniczącego Naczelnej Komisji Rewizyjnej, Przewodniczącego Naczelnego Sądu, Naczelnego Rzecznika oraz Sekretarza Naczelnej Rady</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6" w:name="mip58375631"/>
      <w:bookmarkEnd w:id="6"/>
      <w:r w:rsidRPr="00111910">
        <w:rPr>
          <w:rFonts w:ascii="Times New Roman" w:eastAsia="Times New Roman" w:hAnsi="Times New Roman" w:cs="Times New Roman"/>
          <w:lang w:eastAsia="pl-PL"/>
        </w:rPr>
        <w:t>- można nieprzerwanie pełnić nie dłużej niż przez 2 następujące po sobie kadencje; pełnienie danej funkcji dłużej niż przez 24 miesiące w danej kadencji przyjmuje się za pełnienie jej przez pełną kadencję.</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7" w:name="mip58376189"/>
      <w:bookmarkEnd w:id="7"/>
      <w:r w:rsidRPr="00111910">
        <w:rPr>
          <w:rFonts w:ascii="Times New Roman" w:eastAsia="Times New Roman" w:hAnsi="Times New Roman" w:cs="Times New Roman"/>
          <w:lang w:eastAsia="pl-PL"/>
        </w:rPr>
        <w:t>4. Jeżeli kadencja organów izby, o której mowa w ust. 1, upływa w okresie ogłoszenia stanu zagrożenia epidemicznego lub stanu epidemii, o których mowa w ustawie z dnia 5 grudnia 2008 r. o zapobieganiu oraz zwalczaniu zakażeń i chorób zakaźnych u ludzi (Dz.U. z 2020 r. </w:t>
      </w:r>
      <w:hyperlink r:id="rId6" w:history="1">
        <w:r w:rsidRPr="00111910">
          <w:rPr>
            <w:rFonts w:ascii="Times New Roman" w:eastAsia="Times New Roman" w:hAnsi="Times New Roman" w:cs="Times New Roman"/>
            <w:u w:val="single"/>
            <w:lang w:eastAsia="pl-PL"/>
          </w:rPr>
          <w:t>poz. 1845</w:t>
        </w:r>
      </w:hyperlink>
      <w:r w:rsidRPr="00111910">
        <w:rPr>
          <w:rFonts w:ascii="Times New Roman" w:eastAsia="Times New Roman" w:hAnsi="Times New Roman" w:cs="Times New Roman"/>
          <w:lang w:eastAsia="pl-PL"/>
        </w:rPr>
        <w:t>, </w:t>
      </w:r>
      <w:hyperlink r:id="rId7" w:history="1">
        <w:r w:rsidRPr="00111910">
          <w:rPr>
            <w:rFonts w:ascii="Times New Roman" w:eastAsia="Times New Roman" w:hAnsi="Times New Roman" w:cs="Times New Roman"/>
            <w:u w:val="single"/>
            <w:lang w:eastAsia="pl-PL"/>
          </w:rPr>
          <w:t>2112</w:t>
        </w:r>
      </w:hyperlink>
      <w:r w:rsidRPr="00111910">
        <w:rPr>
          <w:rFonts w:ascii="Times New Roman" w:eastAsia="Times New Roman" w:hAnsi="Times New Roman" w:cs="Times New Roman"/>
          <w:lang w:eastAsia="pl-PL"/>
        </w:rPr>
        <w:t> i </w:t>
      </w:r>
      <w:hyperlink r:id="rId8" w:history="1">
        <w:r w:rsidRPr="00111910">
          <w:rPr>
            <w:rFonts w:ascii="Times New Roman" w:eastAsia="Times New Roman" w:hAnsi="Times New Roman" w:cs="Times New Roman"/>
            <w:u w:val="single"/>
            <w:lang w:eastAsia="pl-PL"/>
          </w:rPr>
          <w:t>2401</w:t>
        </w:r>
      </w:hyperlink>
      <w:r w:rsidRPr="00111910">
        <w:rPr>
          <w:rFonts w:ascii="Times New Roman" w:eastAsia="Times New Roman" w:hAnsi="Times New Roman" w:cs="Times New Roman"/>
          <w:lang w:eastAsia="pl-PL"/>
        </w:rPr>
        <w:t> oraz z 2021 r. </w:t>
      </w:r>
      <w:hyperlink r:id="rId9" w:history="1">
        <w:r w:rsidRPr="00111910">
          <w:rPr>
            <w:rFonts w:ascii="Times New Roman" w:eastAsia="Times New Roman" w:hAnsi="Times New Roman" w:cs="Times New Roman"/>
            <w:u w:val="single"/>
            <w:lang w:eastAsia="pl-PL"/>
          </w:rPr>
          <w:t>poz. 159</w:t>
        </w:r>
      </w:hyperlink>
      <w:r w:rsidRPr="00111910">
        <w:rPr>
          <w:rFonts w:ascii="Times New Roman" w:eastAsia="Times New Roman" w:hAnsi="Times New Roman" w:cs="Times New Roman"/>
          <w:lang w:eastAsia="pl-PL"/>
        </w:rPr>
        <w:t>, </w:t>
      </w:r>
      <w:hyperlink r:id="rId10" w:history="1">
        <w:r w:rsidRPr="00111910">
          <w:rPr>
            <w:rFonts w:ascii="Times New Roman" w:eastAsia="Times New Roman" w:hAnsi="Times New Roman" w:cs="Times New Roman"/>
            <w:u w:val="single"/>
            <w:lang w:eastAsia="pl-PL"/>
          </w:rPr>
          <w:t>180</w:t>
        </w:r>
      </w:hyperlink>
      <w:r w:rsidRPr="00111910">
        <w:rPr>
          <w:rFonts w:ascii="Times New Roman" w:eastAsia="Times New Roman" w:hAnsi="Times New Roman" w:cs="Times New Roman"/>
          <w:lang w:eastAsia="pl-PL"/>
        </w:rPr>
        <w:t> i </w:t>
      </w:r>
      <w:hyperlink r:id="rId11" w:history="1">
        <w:r w:rsidRPr="00111910">
          <w:rPr>
            <w:rFonts w:ascii="Times New Roman" w:eastAsia="Times New Roman" w:hAnsi="Times New Roman" w:cs="Times New Roman"/>
            <w:u w:val="single"/>
            <w:lang w:eastAsia="pl-PL"/>
          </w:rPr>
          <w:t>255</w:t>
        </w:r>
      </w:hyperlink>
      <w:r w:rsidRPr="00111910">
        <w:rPr>
          <w:rFonts w:ascii="Times New Roman" w:eastAsia="Times New Roman" w:hAnsi="Times New Roman" w:cs="Times New Roman"/>
          <w:lang w:eastAsia="pl-PL"/>
        </w:rPr>
        <w:t>), lub do 30 dni po odwołaniu danego stanu, podlega ona przedłużeniu do czasu wyboru organów izby na nową kadencję, jednak nie dłużej niż do 60 dni od dnia odwołania stanu zagrożenia epidemicznego lub stanu epidemii. Zdanie drugie ust. 1 stosuje się.</w:t>
      </w:r>
    </w:p>
    <w:p w:rsidR="00111910" w:rsidRDefault="00111910" w:rsidP="00111910">
      <w:pPr>
        <w:shd w:val="clear" w:color="auto" w:fill="FFFFFF"/>
        <w:suppressAutoHyphens/>
        <w:spacing w:after="0" w:line="264" w:lineRule="auto"/>
        <w:jc w:val="both"/>
        <w:rPr>
          <w:rFonts w:ascii="Times New Roman" w:eastAsia="Times New Roman" w:hAnsi="Times New Roman" w:cs="Times New Roman"/>
          <w:b/>
          <w:bCs/>
          <w:lang w:eastAsia="pl-PL"/>
        </w:rPr>
      </w:pP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r w:rsidRPr="00111910">
        <w:rPr>
          <w:rFonts w:ascii="Times New Roman" w:eastAsia="Times New Roman" w:hAnsi="Times New Roman" w:cs="Times New Roman"/>
          <w:b/>
          <w:bCs/>
          <w:lang w:eastAsia="pl-PL"/>
        </w:rPr>
        <w:t>Art. 30 [Okręgowy zjazd, uchwały] </w:t>
      </w:r>
      <w:r w:rsidRPr="00111910">
        <w:rPr>
          <w:rFonts w:ascii="Times New Roman" w:eastAsia="Times New Roman" w:hAnsi="Times New Roman" w:cs="Times New Roman"/>
          <w:lang w:eastAsia="pl-PL"/>
        </w:rPr>
        <w:t>Okręgowy zjazd, w drodze uchwały, w szczególności:</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8" w:name="mip58375823"/>
      <w:bookmarkEnd w:id="8"/>
      <w:r w:rsidRPr="00111910">
        <w:rPr>
          <w:rFonts w:ascii="Times New Roman" w:eastAsia="Times New Roman" w:hAnsi="Times New Roman" w:cs="Times New Roman"/>
          <w:lang w:eastAsia="pl-PL"/>
        </w:rPr>
        <w:t>1) ustala zasady gospodarki finansowej izby oraz uchwala roczny budżet;</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9" w:name="mip58375824"/>
      <w:bookmarkEnd w:id="9"/>
      <w:r w:rsidRPr="00111910">
        <w:rPr>
          <w:rFonts w:ascii="Times New Roman" w:eastAsia="Times New Roman" w:hAnsi="Times New Roman" w:cs="Times New Roman"/>
          <w:lang w:eastAsia="pl-PL"/>
        </w:rPr>
        <w:t>2) rozpatruje i zatwierdza roczne i kadencyjne sprawozdania z działalności okręgowej rady, okręgowej komisji rewizyjnej, okręgowego sądu i okręgowego rzecznika;</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0" w:name="mip58375825"/>
      <w:bookmarkEnd w:id="10"/>
      <w:r w:rsidRPr="00111910">
        <w:rPr>
          <w:rFonts w:ascii="Times New Roman" w:eastAsia="Times New Roman" w:hAnsi="Times New Roman" w:cs="Times New Roman"/>
          <w:lang w:eastAsia="pl-PL"/>
        </w:rPr>
        <w:t>3) ustala liczbę członków oraz szczegółową organizację, zasady i tryb działania organów izby;</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1" w:name="mip58375826"/>
      <w:bookmarkEnd w:id="11"/>
      <w:r w:rsidRPr="00111910">
        <w:rPr>
          <w:rFonts w:ascii="Times New Roman" w:eastAsia="Times New Roman" w:hAnsi="Times New Roman" w:cs="Times New Roman"/>
          <w:lang w:eastAsia="pl-PL"/>
        </w:rPr>
        <w:t>4) wybiera przewodniczącego i pozostałych członków okręgowej rady, okręgowej komisji rewizyjnej i okręgowego sądu oraz okręgowego rzecznika i jego zastępców;</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2" w:name="mip58375827"/>
      <w:bookmarkEnd w:id="12"/>
      <w:r w:rsidRPr="00111910">
        <w:rPr>
          <w:rFonts w:ascii="Times New Roman" w:eastAsia="Times New Roman" w:hAnsi="Times New Roman" w:cs="Times New Roman"/>
          <w:lang w:eastAsia="pl-PL"/>
        </w:rPr>
        <w:t>5) wybiera delegatów na Krajowy Zjazd;</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3" w:name="mip58375828"/>
      <w:bookmarkEnd w:id="13"/>
      <w:r w:rsidRPr="00111910">
        <w:rPr>
          <w:rFonts w:ascii="Times New Roman" w:eastAsia="Times New Roman" w:hAnsi="Times New Roman" w:cs="Times New Roman"/>
          <w:lang w:eastAsia="pl-PL"/>
        </w:rPr>
        <w:t>6) odwołuje członków organów izby przed upływem kadencji;</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4" w:name="mip58375829"/>
      <w:bookmarkEnd w:id="14"/>
      <w:r w:rsidRPr="00111910">
        <w:rPr>
          <w:rFonts w:ascii="Times New Roman" w:eastAsia="Times New Roman" w:hAnsi="Times New Roman" w:cs="Times New Roman"/>
          <w:lang w:eastAsia="pl-PL"/>
        </w:rPr>
        <w:t>7) udziela absolutorium ustępującej okręgowej radzie;</w:t>
      </w:r>
    </w:p>
    <w:p w:rsidR="00111910" w:rsidRPr="00111910" w:rsidRDefault="00111910" w:rsidP="00111910">
      <w:pPr>
        <w:shd w:val="clear" w:color="auto" w:fill="FFFFFF"/>
        <w:suppressAutoHyphens/>
        <w:spacing w:after="0" w:line="264" w:lineRule="auto"/>
        <w:jc w:val="both"/>
        <w:rPr>
          <w:rFonts w:ascii="Times New Roman" w:eastAsia="Times New Roman" w:hAnsi="Times New Roman" w:cs="Times New Roman"/>
          <w:lang w:eastAsia="pl-PL"/>
        </w:rPr>
      </w:pPr>
      <w:bookmarkStart w:id="15" w:name="mip58375830"/>
      <w:bookmarkEnd w:id="15"/>
      <w:r w:rsidRPr="00111910">
        <w:rPr>
          <w:rFonts w:ascii="Times New Roman" w:eastAsia="Times New Roman" w:hAnsi="Times New Roman" w:cs="Times New Roman"/>
          <w:lang w:eastAsia="pl-PL"/>
        </w:rPr>
        <w:t>8) podejmuje uchwały w sprawach istotnych dla zawodów pielęgniarki i położnej oraz w innych sprawach objętych zakresem działania okręgowej izby.</w:t>
      </w:r>
    </w:p>
    <w:p w:rsidR="00111910" w:rsidRPr="00111910" w:rsidRDefault="00111910" w:rsidP="00111910">
      <w:pPr>
        <w:suppressAutoHyphens/>
        <w:spacing w:after="0" w:line="264" w:lineRule="auto"/>
        <w:jc w:val="both"/>
        <w:rPr>
          <w:rFonts w:ascii="Times New Roman" w:hAnsi="Times New Roman" w:cs="Times New Roman"/>
        </w:rPr>
      </w:pPr>
      <w:r w:rsidRPr="00111910">
        <w:rPr>
          <w:rFonts w:ascii="Times New Roman" w:hAnsi="Times New Roman" w:cs="Times New Roman"/>
          <w:b/>
          <w:bCs/>
          <w:shd w:val="clear" w:color="auto" w:fill="FFFFFF"/>
        </w:rPr>
        <w:br/>
      </w:r>
      <w:r w:rsidRPr="00111910">
        <w:rPr>
          <w:rStyle w:val="articletitle"/>
          <w:rFonts w:ascii="Times New Roman" w:hAnsi="Times New Roman" w:cs="Times New Roman"/>
          <w:b/>
          <w:bCs/>
          <w:shd w:val="clear" w:color="auto" w:fill="FFFFFF"/>
        </w:rPr>
        <w:t>Art. 31a [Uchwała </w:t>
      </w:r>
      <w:bookmarkStart w:id="16" w:name="highlightHit_104"/>
      <w:bookmarkEnd w:id="16"/>
      <w:r w:rsidRPr="00111910">
        <w:rPr>
          <w:rStyle w:val="highlight-disabled"/>
          <w:rFonts w:ascii="Times New Roman" w:hAnsi="Times New Roman" w:cs="Times New Roman"/>
          <w:b/>
          <w:bCs/>
          <w:shd w:val="clear" w:color="auto" w:fill="FFFFFF"/>
        </w:rPr>
        <w:t>o</w:t>
      </w:r>
      <w:r w:rsidRPr="00111910">
        <w:rPr>
          <w:rStyle w:val="articletitle"/>
          <w:rFonts w:ascii="Times New Roman" w:hAnsi="Times New Roman" w:cs="Times New Roman"/>
          <w:b/>
          <w:bCs/>
          <w:shd w:val="clear" w:color="auto" w:fill="FFFFFF"/>
        </w:rPr>
        <w:t> braku możliwości przeprowadzenia okręgowego zjazdu] </w:t>
      </w:r>
      <w:r w:rsidRPr="00111910">
        <w:rPr>
          <w:rFonts w:ascii="Times New Roman" w:hAnsi="Times New Roman" w:cs="Times New Roman"/>
          <w:shd w:val="clear" w:color="auto" w:fill="FFFFFF"/>
        </w:rPr>
        <w:t>W okresie ogłoszenia stanu zagrożenia epidemicznego lub stanu epidemii, </w:t>
      </w:r>
      <w:bookmarkStart w:id="17" w:name="highlightHit_105"/>
      <w:bookmarkEnd w:id="17"/>
      <w:r w:rsidRPr="00111910">
        <w:rPr>
          <w:rStyle w:val="highlight-disabled"/>
          <w:rFonts w:ascii="Times New Roman" w:hAnsi="Times New Roman" w:cs="Times New Roman"/>
          <w:shd w:val="clear" w:color="auto" w:fill="FFFFFF"/>
        </w:rPr>
        <w:t>o</w:t>
      </w:r>
      <w:r w:rsidRPr="00111910">
        <w:rPr>
          <w:rFonts w:ascii="Times New Roman" w:hAnsi="Times New Roman" w:cs="Times New Roman"/>
          <w:shd w:val="clear" w:color="auto" w:fill="FFFFFF"/>
        </w:rPr>
        <w:t> których mowa w </w:t>
      </w:r>
      <w:bookmarkStart w:id="18" w:name="highlightHit_106"/>
      <w:bookmarkEnd w:id="18"/>
      <w:r w:rsidRPr="00111910">
        <w:rPr>
          <w:rStyle w:val="highlight-disabled"/>
          <w:rFonts w:ascii="Times New Roman" w:hAnsi="Times New Roman" w:cs="Times New Roman"/>
          <w:shd w:val="clear" w:color="auto" w:fill="FFFFFF"/>
        </w:rPr>
        <w:t>ustawie</w:t>
      </w:r>
      <w:r w:rsidRPr="00111910">
        <w:rPr>
          <w:rFonts w:ascii="Times New Roman" w:hAnsi="Times New Roman" w:cs="Times New Roman"/>
          <w:shd w:val="clear" w:color="auto" w:fill="FFFFFF"/>
        </w:rPr>
        <w:t> z dnia 5 grudnia 2008 r. o zapobieganiu oraz zwalczaniu zakażeń i chorób zakaźnych u ludzi, okręgowa rada, po podjęciu uchwały o braku możliwości przeprowadzenia okręgowego zjazdu w związku z ogłoszeniem takiego stanu, realizuje zadania, o których mowa w </w:t>
      </w:r>
      <w:hyperlink r:id="rId12" w:history="1">
        <w:r w:rsidRPr="00111910">
          <w:rPr>
            <w:rStyle w:val="Hipercze"/>
            <w:rFonts w:ascii="Times New Roman" w:hAnsi="Times New Roman" w:cs="Times New Roman"/>
            <w:color w:val="auto"/>
            <w:shd w:val="clear" w:color="auto" w:fill="FFFFFF"/>
          </w:rPr>
          <w:t>art. 30 pkt 1</w:t>
        </w:r>
      </w:hyperlink>
      <w:r w:rsidRPr="00111910">
        <w:rPr>
          <w:rFonts w:ascii="Times New Roman" w:hAnsi="Times New Roman" w:cs="Times New Roman"/>
          <w:shd w:val="clear" w:color="auto" w:fill="FFFFFF"/>
        </w:rPr>
        <w:t>, w danym roku.</w:t>
      </w:r>
    </w:p>
    <w:p w:rsidR="004C3F56" w:rsidRDefault="004C3F56"/>
    <w:sectPr w:rsidR="004C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5F4E"/>
    <w:multiLevelType w:val="hybridMultilevel"/>
    <w:tmpl w:val="5AC0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10"/>
    <w:rsid w:val="00111910"/>
    <w:rsid w:val="004C3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910"/>
    <w:pPr>
      <w:ind w:left="720"/>
      <w:contextualSpacing/>
    </w:pPr>
  </w:style>
  <w:style w:type="character" w:customStyle="1" w:styleId="articletitle">
    <w:name w:val="articletitle"/>
    <w:basedOn w:val="Domylnaczcionkaakapitu"/>
    <w:rsid w:val="00111910"/>
  </w:style>
  <w:style w:type="character" w:customStyle="1" w:styleId="highlight-disabled">
    <w:name w:val="highlight-disabled"/>
    <w:basedOn w:val="Domylnaczcionkaakapitu"/>
    <w:rsid w:val="00111910"/>
  </w:style>
  <w:style w:type="character" w:styleId="Hipercze">
    <w:name w:val="Hyperlink"/>
    <w:basedOn w:val="Domylnaczcionkaakapitu"/>
    <w:uiPriority w:val="99"/>
    <w:semiHidden/>
    <w:unhideWhenUsed/>
    <w:rsid w:val="00111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910"/>
    <w:pPr>
      <w:ind w:left="720"/>
      <w:contextualSpacing/>
    </w:pPr>
  </w:style>
  <w:style w:type="character" w:customStyle="1" w:styleId="articletitle">
    <w:name w:val="articletitle"/>
    <w:basedOn w:val="Domylnaczcionkaakapitu"/>
    <w:rsid w:val="00111910"/>
  </w:style>
  <w:style w:type="character" w:customStyle="1" w:styleId="highlight-disabled">
    <w:name w:val="highlight-disabled"/>
    <w:basedOn w:val="Domylnaczcionkaakapitu"/>
    <w:rsid w:val="00111910"/>
  </w:style>
  <w:style w:type="character" w:styleId="Hipercze">
    <w:name w:val="Hyperlink"/>
    <w:basedOn w:val="Domylnaczcionkaakapitu"/>
    <w:uiPriority w:val="99"/>
    <w:semiHidden/>
    <w:unhideWhenUsed/>
    <w:rsid w:val="00111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99145">
      <w:bodyDiv w:val="1"/>
      <w:marLeft w:val="0"/>
      <w:marRight w:val="0"/>
      <w:marTop w:val="0"/>
      <w:marBottom w:val="0"/>
      <w:divBdr>
        <w:top w:val="none" w:sz="0" w:space="0" w:color="auto"/>
        <w:left w:val="none" w:sz="0" w:space="0" w:color="auto"/>
        <w:bottom w:val="none" w:sz="0" w:space="0" w:color="auto"/>
        <w:right w:val="none" w:sz="0" w:space="0" w:color="auto"/>
      </w:divBdr>
      <w:divsChild>
        <w:div w:id="1799253671">
          <w:marLeft w:val="0"/>
          <w:marRight w:val="0"/>
          <w:marTop w:val="150"/>
          <w:marBottom w:val="168"/>
          <w:divBdr>
            <w:top w:val="none" w:sz="0" w:space="0" w:color="auto"/>
            <w:left w:val="none" w:sz="0" w:space="0" w:color="auto"/>
            <w:bottom w:val="none" w:sz="0" w:space="0" w:color="auto"/>
            <w:right w:val="none" w:sz="0" w:space="0" w:color="auto"/>
          </w:divBdr>
        </w:div>
        <w:div w:id="150878074">
          <w:marLeft w:val="0"/>
          <w:marRight w:val="0"/>
          <w:marTop w:val="0"/>
          <w:marBottom w:val="0"/>
          <w:divBdr>
            <w:top w:val="none" w:sz="0" w:space="0" w:color="auto"/>
            <w:left w:val="none" w:sz="0" w:space="0" w:color="auto"/>
            <w:bottom w:val="none" w:sz="0" w:space="0" w:color="auto"/>
            <w:right w:val="none" w:sz="0" w:space="0" w:color="auto"/>
          </w:divBdr>
          <w:divsChild>
            <w:div w:id="934361406">
              <w:marLeft w:val="255"/>
              <w:marRight w:val="0"/>
              <w:marTop w:val="0"/>
              <w:marBottom w:val="0"/>
              <w:divBdr>
                <w:top w:val="none" w:sz="0" w:space="0" w:color="auto"/>
                <w:left w:val="none" w:sz="0" w:space="0" w:color="auto"/>
                <w:bottom w:val="none" w:sz="0" w:space="0" w:color="auto"/>
                <w:right w:val="none" w:sz="0" w:space="0" w:color="auto"/>
              </w:divBdr>
            </w:div>
          </w:divsChild>
        </w:div>
        <w:div w:id="2058819947">
          <w:marLeft w:val="0"/>
          <w:marRight w:val="0"/>
          <w:marTop w:val="0"/>
          <w:marBottom w:val="0"/>
          <w:divBdr>
            <w:top w:val="none" w:sz="0" w:space="0" w:color="auto"/>
            <w:left w:val="none" w:sz="0" w:space="0" w:color="auto"/>
            <w:bottom w:val="none" w:sz="0" w:space="0" w:color="auto"/>
            <w:right w:val="none" w:sz="0" w:space="0" w:color="auto"/>
          </w:divBdr>
          <w:divsChild>
            <w:div w:id="1786734482">
              <w:marLeft w:val="255"/>
              <w:marRight w:val="0"/>
              <w:marTop w:val="0"/>
              <w:marBottom w:val="0"/>
              <w:divBdr>
                <w:top w:val="none" w:sz="0" w:space="0" w:color="auto"/>
                <w:left w:val="none" w:sz="0" w:space="0" w:color="auto"/>
                <w:bottom w:val="none" w:sz="0" w:space="0" w:color="auto"/>
                <w:right w:val="none" w:sz="0" w:space="0" w:color="auto"/>
              </w:divBdr>
            </w:div>
          </w:divsChild>
        </w:div>
        <w:div w:id="2128159691">
          <w:marLeft w:val="0"/>
          <w:marRight w:val="0"/>
          <w:marTop w:val="0"/>
          <w:marBottom w:val="0"/>
          <w:divBdr>
            <w:top w:val="none" w:sz="0" w:space="0" w:color="auto"/>
            <w:left w:val="none" w:sz="0" w:space="0" w:color="auto"/>
            <w:bottom w:val="none" w:sz="0" w:space="0" w:color="auto"/>
            <w:right w:val="none" w:sz="0" w:space="0" w:color="auto"/>
          </w:divBdr>
          <w:divsChild>
            <w:div w:id="609438411">
              <w:marLeft w:val="255"/>
              <w:marRight w:val="0"/>
              <w:marTop w:val="0"/>
              <w:marBottom w:val="0"/>
              <w:divBdr>
                <w:top w:val="none" w:sz="0" w:space="0" w:color="auto"/>
                <w:left w:val="none" w:sz="0" w:space="0" w:color="auto"/>
                <w:bottom w:val="none" w:sz="0" w:space="0" w:color="auto"/>
                <w:right w:val="none" w:sz="0" w:space="0" w:color="auto"/>
              </w:divBdr>
            </w:div>
          </w:divsChild>
        </w:div>
        <w:div w:id="1425225692">
          <w:marLeft w:val="0"/>
          <w:marRight w:val="0"/>
          <w:marTop w:val="0"/>
          <w:marBottom w:val="0"/>
          <w:divBdr>
            <w:top w:val="none" w:sz="0" w:space="0" w:color="auto"/>
            <w:left w:val="none" w:sz="0" w:space="0" w:color="auto"/>
            <w:bottom w:val="none" w:sz="0" w:space="0" w:color="auto"/>
            <w:right w:val="none" w:sz="0" w:space="0" w:color="auto"/>
          </w:divBdr>
          <w:divsChild>
            <w:div w:id="1090739399">
              <w:marLeft w:val="255"/>
              <w:marRight w:val="0"/>
              <w:marTop w:val="0"/>
              <w:marBottom w:val="0"/>
              <w:divBdr>
                <w:top w:val="none" w:sz="0" w:space="0" w:color="auto"/>
                <w:left w:val="none" w:sz="0" w:space="0" w:color="auto"/>
                <w:bottom w:val="none" w:sz="0" w:space="0" w:color="auto"/>
                <w:right w:val="none" w:sz="0" w:space="0" w:color="auto"/>
              </w:divBdr>
            </w:div>
          </w:divsChild>
        </w:div>
        <w:div w:id="1061319979">
          <w:marLeft w:val="0"/>
          <w:marRight w:val="0"/>
          <w:marTop w:val="0"/>
          <w:marBottom w:val="0"/>
          <w:divBdr>
            <w:top w:val="none" w:sz="0" w:space="0" w:color="auto"/>
            <w:left w:val="none" w:sz="0" w:space="0" w:color="auto"/>
            <w:bottom w:val="none" w:sz="0" w:space="0" w:color="auto"/>
            <w:right w:val="none" w:sz="0" w:space="0" w:color="auto"/>
          </w:divBdr>
          <w:divsChild>
            <w:div w:id="243496306">
              <w:marLeft w:val="255"/>
              <w:marRight w:val="0"/>
              <w:marTop w:val="0"/>
              <w:marBottom w:val="0"/>
              <w:divBdr>
                <w:top w:val="none" w:sz="0" w:space="0" w:color="auto"/>
                <w:left w:val="none" w:sz="0" w:space="0" w:color="auto"/>
                <w:bottom w:val="none" w:sz="0" w:space="0" w:color="auto"/>
                <w:right w:val="none" w:sz="0" w:space="0" w:color="auto"/>
              </w:divBdr>
            </w:div>
          </w:divsChild>
        </w:div>
        <w:div w:id="1615938353">
          <w:marLeft w:val="0"/>
          <w:marRight w:val="0"/>
          <w:marTop w:val="0"/>
          <w:marBottom w:val="0"/>
          <w:divBdr>
            <w:top w:val="none" w:sz="0" w:space="0" w:color="auto"/>
            <w:left w:val="none" w:sz="0" w:space="0" w:color="auto"/>
            <w:bottom w:val="none" w:sz="0" w:space="0" w:color="auto"/>
            <w:right w:val="none" w:sz="0" w:space="0" w:color="auto"/>
          </w:divBdr>
          <w:divsChild>
            <w:div w:id="559175889">
              <w:marLeft w:val="255"/>
              <w:marRight w:val="0"/>
              <w:marTop w:val="0"/>
              <w:marBottom w:val="0"/>
              <w:divBdr>
                <w:top w:val="none" w:sz="0" w:space="0" w:color="auto"/>
                <w:left w:val="none" w:sz="0" w:space="0" w:color="auto"/>
                <w:bottom w:val="none" w:sz="0" w:space="0" w:color="auto"/>
                <w:right w:val="none" w:sz="0" w:space="0" w:color="auto"/>
              </w:divBdr>
            </w:div>
          </w:divsChild>
        </w:div>
        <w:div w:id="1682274111">
          <w:marLeft w:val="0"/>
          <w:marRight w:val="0"/>
          <w:marTop w:val="0"/>
          <w:marBottom w:val="0"/>
          <w:divBdr>
            <w:top w:val="none" w:sz="0" w:space="0" w:color="auto"/>
            <w:left w:val="none" w:sz="0" w:space="0" w:color="auto"/>
            <w:bottom w:val="none" w:sz="0" w:space="0" w:color="auto"/>
            <w:right w:val="none" w:sz="0" w:space="0" w:color="auto"/>
          </w:divBdr>
          <w:divsChild>
            <w:div w:id="1366710548">
              <w:marLeft w:val="255"/>
              <w:marRight w:val="0"/>
              <w:marTop w:val="0"/>
              <w:marBottom w:val="0"/>
              <w:divBdr>
                <w:top w:val="none" w:sz="0" w:space="0" w:color="auto"/>
                <w:left w:val="none" w:sz="0" w:space="0" w:color="auto"/>
                <w:bottom w:val="none" w:sz="0" w:space="0" w:color="auto"/>
                <w:right w:val="none" w:sz="0" w:space="0" w:color="auto"/>
              </w:divBdr>
            </w:div>
          </w:divsChild>
        </w:div>
        <w:div w:id="81608751">
          <w:marLeft w:val="0"/>
          <w:marRight w:val="0"/>
          <w:marTop w:val="0"/>
          <w:marBottom w:val="0"/>
          <w:divBdr>
            <w:top w:val="none" w:sz="0" w:space="0" w:color="auto"/>
            <w:left w:val="none" w:sz="0" w:space="0" w:color="auto"/>
            <w:bottom w:val="none" w:sz="0" w:space="0" w:color="auto"/>
            <w:right w:val="none" w:sz="0" w:space="0" w:color="auto"/>
          </w:divBdr>
          <w:divsChild>
            <w:div w:id="12816476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03405552">
      <w:bodyDiv w:val="1"/>
      <w:marLeft w:val="0"/>
      <w:marRight w:val="0"/>
      <w:marTop w:val="0"/>
      <w:marBottom w:val="0"/>
      <w:divBdr>
        <w:top w:val="none" w:sz="0" w:space="0" w:color="auto"/>
        <w:left w:val="none" w:sz="0" w:space="0" w:color="auto"/>
        <w:bottom w:val="none" w:sz="0" w:space="0" w:color="auto"/>
        <w:right w:val="none" w:sz="0" w:space="0" w:color="auto"/>
      </w:divBdr>
      <w:divsChild>
        <w:div w:id="1640957628">
          <w:marLeft w:val="0"/>
          <w:marRight w:val="0"/>
          <w:marTop w:val="150"/>
          <w:marBottom w:val="168"/>
          <w:divBdr>
            <w:top w:val="none" w:sz="0" w:space="0" w:color="auto"/>
            <w:left w:val="none" w:sz="0" w:space="0" w:color="auto"/>
            <w:bottom w:val="none" w:sz="0" w:space="0" w:color="auto"/>
            <w:right w:val="none" w:sz="0" w:space="0" w:color="auto"/>
          </w:divBdr>
        </w:div>
        <w:div w:id="1316913053">
          <w:marLeft w:val="0"/>
          <w:marRight w:val="0"/>
          <w:marTop w:val="0"/>
          <w:marBottom w:val="0"/>
          <w:divBdr>
            <w:top w:val="none" w:sz="0" w:space="0" w:color="auto"/>
            <w:left w:val="none" w:sz="0" w:space="0" w:color="auto"/>
            <w:bottom w:val="none" w:sz="0" w:space="0" w:color="auto"/>
            <w:right w:val="none" w:sz="0" w:space="0" w:color="auto"/>
          </w:divBdr>
          <w:divsChild>
            <w:div w:id="1665938231">
              <w:marLeft w:val="0"/>
              <w:marRight w:val="0"/>
              <w:marTop w:val="105"/>
              <w:marBottom w:val="0"/>
              <w:divBdr>
                <w:top w:val="none" w:sz="0" w:space="0" w:color="auto"/>
                <w:left w:val="none" w:sz="0" w:space="0" w:color="auto"/>
                <w:bottom w:val="none" w:sz="0" w:space="0" w:color="auto"/>
                <w:right w:val="none" w:sz="0" w:space="0" w:color="auto"/>
              </w:divBdr>
            </w:div>
          </w:divsChild>
        </w:div>
        <w:div w:id="1111894723">
          <w:marLeft w:val="0"/>
          <w:marRight w:val="0"/>
          <w:marTop w:val="0"/>
          <w:marBottom w:val="0"/>
          <w:divBdr>
            <w:top w:val="none" w:sz="0" w:space="0" w:color="auto"/>
            <w:left w:val="none" w:sz="0" w:space="0" w:color="auto"/>
            <w:bottom w:val="none" w:sz="0" w:space="0" w:color="auto"/>
            <w:right w:val="none" w:sz="0" w:space="0" w:color="auto"/>
          </w:divBdr>
          <w:divsChild>
            <w:div w:id="1765032843">
              <w:marLeft w:val="0"/>
              <w:marRight w:val="0"/>
              <w:marTop w:val="105"/>
              <w:marBottom w:val="0"/>
              <w:divBdr>
                <w:top w:val="none" w:sz="0" w:space="0" w:color="auto"/>
                <w:left w:val="none" w:sz="0" w:space="0" w:color="auto"/>
                <w:bottom w:val="none" w:sz="0" w:space="0" w:color="auto"/>
                <w:right w:val="none" w:sz="0" w:space="0" w:color="auto"/>
              </w:divBdr>
            </w:div>
          </w:divsChild>
        </w:div>
        <w:div w:id="170023025">
          <w:marLeft w:val="0"/>
          <w:marRight w:val="0"/>
          <w:marTop w:val="0"/>
          <w:marBottom w:val="0"/>
          <w:divBdr>
            <w:top w:val="none" w:sz="0" w:space="0" w:color="auto"/>
            <w:left w:val="none" w:sz="0" w:space="0" w:color="auto"/>
            <w:bottom w:val="none" w:sz="0" w:space="0" w:color="auto"/>
            <w:right w:val="none" w:sz="0" w:space="0" w:color="auto"/>
          </w:divBdr>
          <w:divsChild>
            <w:div w:id="292828356">
              <w:marLeft w:val="0"/>
              <w:marRight w:val="0"/>
              <w:marTop w:val="105"/>
              <w:marBottom w:val="0"/>
              <w:divBdr>
                <w:top w:val="none" w:sz="0" w:space="0" w:color="auto"/>
                <w:left w:val="none" w:sz="0" w:space="0" w:color="auto"/>
                <w:bottom w:val="none" w:sz="0" w:space="0" w:color="auto"/>
                <w:right w:val="none" w:sz="0" w:space="0" w:color="auto"/>
              </w:divBdr>
            </w:div>
            <w:div w:id="48654046">
              <w:marLeft w:val="0"/>
              <w:marRight w:val="0"/>
              <w:marTop w:val="0"/>
              <w:marBottom w:val="0"/>
              <w:divBdr>
                <w:top w:val="none" w:sz="0" w:space="0" w:color="auto"/>
                <w:left w:val="none" w:sz="0" w:space="0" w:color="auto"/>
                <w:bottom w:val="none" w:sz="0" w:space="0" w:color="auto"/>
                <w:right w:val="none" w:sz="0" w:space="0" w:color="auto"/>
              </w:divBdr>
              <w:divsChild>
                <w:div w:id="1415779129">
                  <w:marLeft w:val="255"/>
                  <w:marRight w:val="0"/>
                  <w:marTop w:val="0"/>
                  <w:marBottom w:val="0"/>
                  <w:divBdr>
                    <w:top w:val="none" w:sz="0" w:space="0" w:color="auto"/>
                    <w:left w:val="none" w:sz="0" w:space="0" w:color="auto"/>
                    <w:bottom w:val="none" w:sz="0" w:space="0" w:color="auto"/>
                    <w:right w:val="none" w:sz="0" w:space="0" w:color="auto"/>
                  </w:divBdr>
                </w:div>
              </w:divsChild>
            </w:div>
            <w:div w:id="744836818">
              <w:marLeft w:val="0"/>
              <w:marRight w:val="0"/>
              <w:marTop w:val="0"/>
              <w:marBottom w:val="0"/>
              <w:divBdr>
                <w:top w:val="none" w:sz="0" w:space="0" w:color="auto"/>
                <w:left w:val="none" w:sz="0" w:space="0" w:color="auto"/>
                <w:bottom w:val="none" w:sz="0" w:space="0" w:color="auto"/>
                <w:right w:val="none" w:sz="0" w:space="0" w:color="auto"/>
              </w:divBdr>
              <w:divsChild>
                <w:div w:id="1980963242">
                  <w:marLeft w:val="255"/>
                  <w:marRight w:val="0"/>
                  <w:marTop w:val="0"/>
                  <w:marBottom w:val="0"/>
                  <w:divBdr>
                    <w:top w:val="none" w:sz="0" w:space="0" w:color="auto"/>
                    <w:left w:val="none" w:sz="0" w:space="0" w:color="auto"/>
                    <w:bottom w:val="none" w:sz="0" w:space="0" w:color="auto"/>
                    <w:right w:val="none" w:sz="0" w:space="0" w:color="auto"/>
                  </w:divBdr>
                </w:div>
              </w:divsChild>
            </w:div>
            <w:div w:id="1089084702">
              <w:marLeft w:val="0"/>
              <w:marRight w:val="0"/>
              <w:marTop w:val="0"/>
              <w:marBottom w:val="0"/>
              <w:divBdr>
                <w:top w:val="none" w:sz="0" w:space="0" w:color="auto"/>
                <w:left w:val="none" w:sz="0" w:space="0" w:color="auto"/>
                <w:bottom w:val="none" w:sz="0" w:space="0" w:color="auto"/>
                <w:right w:val="none" w:sz="0" w:space="0" w:color="auto"/>
              </w:divBdr>
              <w:divsChild>
                <w:div w:id="18030401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00163485">
          <w:marLeft w:val="0"/>
          <w:marRight w:val="0"/>
          <w:marTop w:val="0"/>
          <w:marBottom w:val="0"/>
          <w:divBdr>
            <w:top w:val="none" w:sz="0" w:space="0" w:color="auto"/>
            <w:left w:val="none" w:sz="0" w:space="0" w:color="auto"/>
            <w:bottom w:val="none" w:sz="0" w:space="0" w:color="auto"/>
            <w:right w:val="none" w:sz="0" w:space="0" w:color="auto"/>
          </w:divBdr>
          <w:divsChild>
            <w:div w:id="187479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obtgqzdoltqmfyc4njxgeydqojsh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p.legalis.pl/document-view.seam?documentId=mfrxilrtg4ytknrxgq2tiltqmfyc4njwgu3dsnrqhe" TargetMode="External"/><Relationship Id="rId12" Type="http://schemas.openxmlformats.org/officeDocument/2006/relationships/hyperlink" Target="https://sip.legalis.pl/document-view.seam?documentId=mfrxilrtg4ytemztgu2daltqmfyc4nbshe2dgnzq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knjugm4tsltqmfyc4njwga2tcnjzge" TargetMode="External"/><Relationship Id="rId11" Type="http://schemas.openxmlformats.org/officeDocument/2006/relationships/hyperlink" Target="https://sip.legalis.pl/document-view.seam?documentId=mfrxilrtg4ytkojygi3daltqmfyc4njxgy3dkmrtge"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kojuhaztmltqmfyc4njxgu2tanrtgi"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ojtgmztaltqmfyc4njxgq4tkmjw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553</Words>
  <Characters>3320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Suszyński</dc:creator>
  <cp:lastModifiedBy>Michał Suszyński</cp:lastModifiedBy>
  <cp:revision>1</cp:revision>
  <dcterms:created xsi:type="dcterms:W3CDTF">2021-06-15T14:23:00Z</dcterms:created>
  <dcterms:modified xsi:type="dcterms:W3CDTF">2021-06-15T14:32:00Z</dcterms:modified>
</cp:coreProperties>
</file>