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D" w:rsidRPr="00731D28" w:rsidRDefault="00D52249" w:rsidP="00BA7D4D">
      <w:pPr>
        <w:jc w:val="right"/>
      </w:pPr>
      <w:bookmarkStart w:id="0" w:name="_GoBack"/>
      <w:bookmarkEnd w:id="0"/>
    </w:p>
    <w:p w:rsidR="00BA7D4D" w:rsidRPr="00731D28" w:rsidRDefault="00D52249" w:rsidP="00BA7D4D">
      <w:pPr>
        <w:jc w:val="right"/>
      </w:pPr>
    </w:p>
    <w:p w:rsidR="00BA7D4D" w:rsidRPr="00731D28" w:rsidRDefault="00D52249" w:rsidP="00BA7D4D">
      <w:pPr>
        <w:jc w:val="right"/>
      </w:pPr>
      <w:r w:rsidRPr="00731D28">
        <w:t xml:space="preserve">Warszawa,  </w:t>
      </w:r>
      <w:bookmarkStart w:id="1" w:name="ezdDataPodpisu"/>
      <w:r w:rsidRPr="00731D28">
        <w:t>08 marca 2021</w:t>
      </w:r>
      <w:bookmarkEnd w:id="1"/>
      <w:r w:rsidRPr="00731D28">
        <w:t xml:space="preserve"> r.</w:t>
      </w:r>
    </w:p>
    <w:p w:rsidR="00BA7D4D" w:rsidRPr="00731D28" w:rsidRDefault="00D52249" w:rsidP="00BA7D4D">
      <w:pPr>
        <w:pStyle w:val="menfont"/>
      </w:pPr>
      <w:bookmarkStart w:id="2" w:name="ezdSprawaZnak"/>
      <w:r w:rsidRPr="00731D28">
        <w:t>DWM.WSK.084.103.2021</w:t>
      </w:r>
      <w:bookmarkEnd w:id="2"/>
      <w:r w:rsidRPr="00731D28">
        <w:t>.</w:t>
      </w:r>
      <w:bookmarkStart w:id="3" w:name="ezdAutorInicjaly"/>
      <w:r>
        <w:t>A</w:t>
      </w:r>
      <w:r w:rsidRPr="00731D28">
        <w:t>M</w:t>
      </w:r>
      <w:bookmarkEnd w:id="3"/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  <w:ind w:left="4956" w:right="-1"/>
      </w:pPr>
      <w:r w:rsidRPr="00731D28">
        <w:t xml:space="preserve">Sz. P. </w:t>
      </w:r>
    </w:p>
    <w:p w:rsidR="00BA7D4D" w:rsidRPr="00731D28" w:rsidRDefault="00D52249" w:rsidP="00BA7D4D">
      <w:pPr>
        <w:pStyle w:val="menfont"/>
        <w:ind w:left="4956" w:right="-1"/>
      </w:pPr>
      <w:bookmarkStart w:id="4" w:name="ezdAdresatImie"/>
      <w:r>
        <w:t>Mariola</w:t>
      </w:r>
      <w:bookmarkEnd w:id="4"/>
      <w:r w:rsidRPr="00731D28">
        <w:t xml:space="preserve"> </w:t>
      </w:r>
      <w:bookmarkStart w:id="5" w:name="ezdAdresatNazwisko"/>
      <w:r>
        <w:t>Łodzińska</w:t>
      </w:r>
      <w:bookmarkEnd w:id="5"/>
    </w:p>
    <w:p w:rsidR="00BA7D4D" w:rsidRPr="00731D28" w:rsidRDefault="00D52249" w:rsidP="00BA7D4D">
      <w:pPr>
        <w:pStyle w:val="menfont"/>
        <w:ind w:left="4956" w:right="-1"/>
      </w:pPr>
      <w:bookmarkStart w:id="6" w:name="ezdAdresatNazwa"/>
      <w:r>
        <w:t xml:space="preserve">Wiceprezes Naczelnej Rady Pielęgniarek i </w:t>
      </w:r>
      <w:bookmarkEnd w:id="6"/>
      <w:r>
        <w:t>Położnych</w:t>
      </w:r>
    </w:p>
    <w:p w:rsidR="00BA7D4D" w:rsidRPr="00731D28" w:rsidRDefault="00D52249" w:rsidP="00BA7D4D">
      <w:pPr>
        <w:pStyle w:val="menfont"/>
        <w:ind w:left="4956" w:right="-1"/>
      </w:pPr>
      <w:bookmarkStart w:id="7" w:name="ezdAdresatAdresUlica"/>
      <w:r>
        <w:t>Pory</w:t>
      </w:r>
      <w:bookmarkEnd w:id="7"/>
      <w:r w:rsidRPr="00731D28">
        <w:t xml:space="preserve"> </w:t>
      </w:r>
      <w:bookmarkStart w:id="8" w:name="ezdAdresatAdresNumerDomu"/>
      <w:r>
        <w:t>78</w:t>
      </w:r>
      <w:bookmarkEnd w:id="8"/>
      <w:r w:rsidRPr="00731D28">
        <w:t xml:space="preserve"> </w:t>
      </w:r>
      <w:bookmarkStart w:id="9" w:name="ezdAdresatAdresNumerLokalu"/>
      <w:r>
        <w:t>10</w:t>
      </w:r>
      <w:bookmarkEnd w:id="9"/>
    </w:p>
    <w:p w:rsidR="00BA7D4D" w:rsidRPr="00731D28" w:rsidRDefault="00D52249" w:rsidP="00BA7D4D">
      <w:pPr>
        <w:pStyle w:val="menfont"/>
        <w:ind w:left="4956" w:right="-1"/>
      </w:pPr>
      <w:bookmarkStart w:id="10" w:name="ezdAdresatAdresKodPocztowy"/>
      <w:r>
        <w:t>02-757</w:t>
      </w:r>
      <w:bookmarkEnd w:id="10"/>
      <w:r w:rsidRPr="00731D28">
        <w:t xml:space="preserve"> </w:t>
      </w:r>
      <w:bookmarkStart w:id="11" w:name="ezdAdresatAdresMiejscowosc"/>
      <w:r>
        <w:t>Warszawa</w:t>
      </w:r>
      <w:bookmarkEnd w:id="11"/>
    </w:p>
    <w:p w:rsidR="00BA7D4D" w:rsidRPr="00731D28" w:rsidRDefault="00D52249" w:rsidP="00BA7D4D">
      <w:pPr>
        <w:pStyle w:val="menfont"/>
        <w:ind w:left="4956" w:right="-1"/>
      </w:pPr>
      <w:bookmarkStart w:id="12" w:name="ezdAdresatAdresKraj"/>
      <w:r>
        <w:t>Polska</w:t>
      </w:r>
    </w:p>
    <w:bookmarkEnd w:id="12"/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  <w:rPr>
          <w:i/>
        </w:rPr>
      </w:pPr>
      <w:r>
        <w:rPr>
          <w:i/>
        </w:rPr>
        <w:t xml:space="preserve">Szanowna Pani </w:t>
      </w:r>
      <w:r>
        <w:rPr>
          <w:i/>
        </w:rPr>
        <w:t>P</w:t>
      </w:r>
      <w:r>
        <w:rPr>
          <w:i/>
        </w:rPr>
        <w:t>rezes,</w:t>
      </w:r>
    </w:p>
    <w:p w:rsidR="00BA7D4D" w:rsidRPr="00731D28" w:rsidRDefault="00D52249" w:rsidP="00BA7D4D">
      <w:pPr>
        <w:pStyle w:val="menfont"/>
      </w:pPr>
    </w:p>
    <w:p w:rsidR="00BA7D4D" w:rsidRPr="00731D28" w:rsidRDefault="00D52249" w:rsidP="00BA7D4D">
      <w:pPr>
        <w:pStyle w:val="menfont"/>
      </w:pPr>
    </w:p>
    <w:p w:rsidR="00BA7D4D" w:rsidRDefault="00D52249" w:rsidP="00721AAD">
      <w:pPr>
        <w:pStyle w:val="menfont"/>
        <w:ind w:left="708"/>
        <w:jc w:val="both"/>
      </w:pPr>
      <w:r>
        <w:t>w</w:t>
      </w:r>
      <w:r w:rsidRPr="00C039CD">
        <w:t xml:space="preserve"> odpowiedzi na pismo z dnia 17.02.2021 r. o sygnaturze NIPiP –NRPiP-OIE.060.26.2021</w:t>
      </w:r>
      <w:r>
        <w:t xml:space="preserve"> </w:t>
      </w:r>
      <w:r>
        <w:t>dotyczące</w:t>
      </w:r>
      <w:r>
        <w:t xml:space="preserve"> warunków wydawania europejskiej legitymacji z</w:t>
      </w:r>
      <w:r>
        <w:t xml:space="preserve">awodowej dla celów tymczasowego </w:t>
      </w:r>
      <w:r>
        <w:t>i</w:t>
      </w:r>
      <w:r>
        <w:t> </w:t>
      </w:r>
      <w:r>
        <w:t xml:space="preserve"> </w:t>
      </w:r>
      <w:r>
        <w:t>okazjonalnego świadczeni</w:t>
      </w:r>
      <w:r>
        <w:t>a usług uprzejmie informuję, co następuje.</w:t>
      </w:r>
    </w:p>
    <w:p w:rsidR="00721AAD" w:rsidRDefault="00D52249" w:rsidP="00721AAD">
      <w:pPr>
        <w:pStyle w:val="menfont"/>
        <w:ind w:left="708"/>
        <w:jc w:val="both"/>
      </w:pPr>
    </w:p>
    <w:p w:rsidR="0062146E" w:rsidRDefault="00D52249" w:rsidP="0062146E">
      <w:pPr>
        <w:pStyle w:val="menfont"/>
        <w:numPr>
          <w:ilvl w:val="0"/>
          <w:numId w:val="1"/>
        </w:numPr>
        <w:jc w:val="both"/>
      </w:pPr>
      <w:r>
        <w:t>A</w:t>
      </w:r>
      <w:r w:rsidRPr="00721AAD">
        <w:t xml:space="preserve">rt. 6 ust. 2 akapit 3 rozporządzenia wykonawczego Komisji (UE) 2015/983 z dnia 24 czerwca 2015 r. w sprawie procedury wydawania europejskiej legitymacji zawodowej oraz stosowania mechanizmu ostrzegania </w:t>
      </w:r>
      <w:r>
        <w:t xml:space="preserve"> </w:t>
      </w:r>
      <w:r w:rsidRPr="00721AAD">
        <w:t>na podstawie dyrektywy 2005/36/WE Parlamentu Europejs</w:t>
      </w:r>
      <w:r w:rsidRPr="00721AAD">
        <w:t>kiego i Rady</w:t>
      </w:r>
      <w:r>
        <w:t xml:space="preserve"> </w:t>
      </w:r>
      <w:r>
        <w:t>(Dz. Urz. UE L 159/27) stanowi, że jeżeli właściwy organ rodzimego państwa członkowskiego nie jest w stanie w żaden inny sposób potwierdzić, że wnioskodawca prowadzi zgodnie z prawem działalność na terytorium tego państwa członkowskiego, zwrac</w:t>
      </w:r>
      <w:r>
        <w:t>a się do wnioskodawcy o przedstawienie dowodu prowadzenia przez niego zgodnie z prawem działalności. Właściwy organ rodzimego państwa członkowskiego uznaje te dokumenty za brakujące dokumenty zgodnie z odpowiednimi przepisami dyrektywy 2005/36/WE Parlament</w:t>
      </w:r>
      <w:r>
        <w:t>u Europejskiego i Rady</w:t>
      </w:r>
      <w:r w:rsidRPr="0062146E">
        <w:t xml:space="preserve"> </w:t>
      </w:r>
      <w:r>
        <w:t xml:space="preserve">z dnia 7 września 2005 w sprawie uznawania kwalifikacji zawodowych (Dz. Urz. UE L 255 </w:t>
      </w:r>
      <w:r>
        <w:br/>
      </w:r>
      <w:r>
        <w:t>z 30.09.2005, str. 22, z późn. zm.).</w:t>
      </w:r>
    </w:p>
    <w:p w:rsidR="0062146E" w:rsidRDefault="00D52249" w:rsidP="007B4415">
      <w:pPr>
        <w:pStyle w:val="menfont"/>
        <w:ind w:left="1068"/>
        <w:jc w:val="both"/>
      </w:pPr>
    </w:p>
    <w:p w:rsidR="0062146E" w:rsidRDefault="00D52249" w:rsidP="007B4415">
      <w:pPr>
        <w:pStyle w:val="menfont"/>
        <w:ind w:left="1068"/>
        <w:jc w:val="both"/>
      </w:pPr>
      <w:r>
        <w:lastRenderedPageBreak/>
        <w:t xml:space="preserve">Powyższa regulacja umożliwia wezwanie wnioskodawcy </w:t>
      </w:r>
      <w:r>
        <w:br/>
      </w:r>
      <w:r>
        <w:t>do przedstawienia dowodów potwierdzających prowadzenie p</w:t>
      </w:r>
      <w:r>
        <w:t>rzez niego zgodnie z prawem działalności tylko w sytuacji</w:t>
      </w:r>
      <w:r>
        <w:t>,</w:t>
      </w:r>
      <w:r>
        <w:t xml:space="preserve"> gdy nie wynika to z danych posiadanych przez</w:t>
      </w:r>
      <w:r>
        <w:t xml:space="preserve"> organ właściwy</w:t>
      </w:r>
      <w:r>
        <w:t xml:space="preserve"> lub </w:t>
      </w:r>
      <w:r>
        <w:t xml:space="preserve">gdy </w:t>
      </w:r>
      <w:r>
        <w:t xml:space="preserve">nie </w:t>
      </w:r>
      <w:r>
        <w:t>ma on</w:t>
      </w:r>
      <w:r>
        <w:t xml:space="preserve"> możliwości</w:t>
      </w:r>
      <w:r>
        <w:t xml:space="preserve"> samodzielnego sprawdzenia ww. faktu. </w:t>
      </w:r>
    </w:p>
    <w:p w:rsidR="0062146E" w:rsidRDefault="00D52249" w:rsidP="007B4415">
      <w:pPr>
        <w:pStyle w:val="menfont"/>
        <w:ind w:left="1068"/>
        <w:jc w:val="both"/>
      </w:pPr>
    </w:p>
    <w:p w:rsidR="0062146E" w:rsidRDefault="00D52249" w:rsidP="007B4415">
      <w:pPr>
        <w:pStyle w:val="menfont"/>
        <w:ind w:left="1068"/>
        <w:jc w:val="both"/>
      </w:pPr>
      <w:r>
        <w:t xml:space="preserve">Należy zwrócić uwagę również na treść pierwszych dwóch akapitów art. </w:t>
      </w:r>
      <w:r>
        <w:t>6 ust. 2 ww. rozporządzenia, zgodnie z którymi w</w:t>
      </w:r>
      <w:r w:rsidRPr="0062146E">
        <w:t>łaściwy organ rodzimego państwa członkowskiego sprawdza, czy wnioskodawca prowadzi zgodnie z prawem działalność w tym państwie członkowskim, oraz poświadcza w dokumentacji w systemie IMI fakt prowadzenia zgod</w:t>
      </w:r>
      <w:r w:rsidRPr="0062146E">
        <w:t xml:space="preserve">nie z prawem działalności. W systemie tym zamieszcza on również wszelkie odpowiednie dowody prowadzenia zgodnie z prawem działalności przez wnioskodawcę lub dodaje odniesienie </w:t>
      </w:r>
      <w:r>
        <w:br/>
      </w:r>
      <w:r w:rsidRPr="0062146E">
        <w:t>do odpowiedniego krajowego rejestru.</w:t>
      </w:r>
    </w:p>
    <w:p w:rsidR="00E76709" w:rsidRDefault="00D52249" w:rsidP="007B4415">
      <w:pPr>
        <w:pStyle w:val="menfont"/>
        <w:ind w:left="1068"/>
        <w:jc w:val="both"/>
      </w:pPr>
    </w:p>
    <w:p w:rsidR="00E76709" w:rsidRDefault="00D52249" w:rsidP="007B4415">
      <w:pPr>
        <w:pStyle w:val="menfont"/>
        <w:ind w:left="1068"/>
        <w:jc w:val="both"/>
      </w:pPr>
      <w:r>
        <w:t>W załączniku II do ww. rozporządzenia w c</w:t>
      </w:r>
      <w:r>
        <w:t>zęści B wskazano dokumenty, które mogą być wymagane w</w:t>
      </w:r>
      <w:r w:rsidRPr="00E76709">
        <w:t xml:space="preserve"> przypadku </w:t>
      </w:r>
      <w:r>
        <w:t xml:space="preserve">tymczasowego </w:t>
      </w:r>
      <w:r>
        <w:br/>
      </w:r>
      <w:r>
        <w:t xml:space="preserve">i okazjonalnego </w:t>
      </w:r>
      <w:r w:rsidRPr="00E76709">
        <w:t>świadczenia usług po raz pierwszy lub w przypadku istotnej zmiany sytuacji wnioskodawcy</w:t>
      </w:r>
      <w:r>
        <w:t xml:space="preserve">. Przy czym jednocześnie </w:t>
      </w:r>
      <w:r>
        <w:t>są</w:t>
      </w:r>
      <w:r>
        <w:t xml:space="preserve"> to dokumenty wymagane</w:t>
      </w:r>
      <w:r w:rsidRPr="00E76709">
        <w:t xml:space="preserve"> zgodnie z art</w:t>
      </w:r>
      <w:r>
        <w:t>. 7 ust. 2 d</w:t>
      </w:r>
      <w:r>
        <w:t xml:space="preserve">yrektywy 2005/36/WE. Zgodnie z lit. b </w:t>
      </w:r>
      <w:r w:rsidRPr="00E76709">
        <w:t>w przypadkach objętych przepisami art. 6 ust. 2 akapit trzeci niniejszego rozporz</w:t>
      </w:r>
      <w:r>
        <w:t>ądzenia organ właściwy rodzimego państwa członkowskiego może wymagać zaświadczenia</w:t>
      </w:r>
      <w:r w:rsidRPr="00E76709">
        <w:t xml:space="preserve"> potwierdzające</w:t>
      </w:r>
      <w:r>
        <w:t>go</w:t>
      </w:r>
      <w:r w:rsidRPr="00E76709">
        <w:t xml:space="preserve"> prowadzenie zgodnie z prawem działaln</w:t>
      </w:r>
      <w:r w:rsidRPr="00E76709">
        <w:t>ości w rodzimym państwie członkowskim, o którym to zaświadczeniu mowa w art. 7 ust.</w:t>
      </w:r>
      <w:r>
        <w:t xml:space="preserve"> 2 lit. b) dyrektywy 2005/36/WE. </w:t>
      </w:r>
    </w:p>
    <w:p w:rsidR="00E76709" w:rsidRDefault="00D52249" w:rsidP="007B4415">
      <w:pPr>
        <w:pStyle w:val="menfont"/>
        <w:ind w:left="1068"/>
        <w:jc w:val="both"/>
      </w:pPr>
    </w:p>
    <w:p w:rsidR="00721AAD" w:rsidRDefault="00D52249" w:rsidP="007B4415">
      <w:pPr>
        <w:pStyle w:val="menfont"/>
        <w:ind w:left="1068"/>
        <w:jc w:val="both"/>
      </w:pPr>
      <w:r>
        <w:t>W związku z powyższym</w:t>
      </w:r>
      <w:r>
        <w:t>,</w:t>
      </w:r>
      <w:r>
        <w:t xml:space="preserve"> </w:t>
      </w:r>
      <w:r w:rsidRPr="00721AAD">
        <w:t>okręgow</w:t>
      </w:r>
      <w:r>
        <w:t>a</w:t>
      </w:r>
      <w:r w:rsidRPr="00721AAD">
        <w:t xml:space="preserve"> izb</w:t>
      </w:r>
      <w:r>
        <w:t>a</w:t>
      </w:r>
      <w:r w:rsidRPr="00721AAD">
        <w:t xml:space="preserve"> pielęgniarek i położnych</w:t>
      </w:r>
      <w:r>
        <w:t xml:space="preserve"> może</w:t>
      </w:r>
      <w:r w:rsidRPr="00965CE6">
        <w:rPr>
          <w:sz w:val="19"/>
          <w:szCs w:val="19"/>
        </w:rPr>
        <w:t xml:space="preserve"> </w:t>
      </w:r>
      <w:r w:rsidRPr="00721AAD">
        <w:t>wymaga</w:t>
      </w:r>
      <w:r>
        <w:t>ć</w:t>
      </w:r>
      <w:r w:rsidRPr="00721AAD">
        <w:t xml:space="preserve"> od wnioskodawcy ubiegającego się o wydanie </w:t>
      </w:r>
      <w:r>
        <w:t>europejskiej</w:t>
      </w:r>
      <w:r w:rsidRPr="00721AAD">
        <w:t xml:space="preserve"> legitym</w:t>
      </w:r>
      <w:r w:rsidRPr="00721AAD">
        <w:t>acji</w:t>
      </w:r>
      <w:r>
        <w:t xml:space="preserve"> zawodowej do celów tymczasowego </w:t>
      </w:r>
      <w:r>
        <w:br/>
      </w:r>
      <w:r>
        <w:t>i okazjonalnego świadczenia usług</w:t>
      </w:r>
      <w:r w:rsidRPr="00721AAD">
        <w:t xml:space="preserve"> złożenia zaświadczenia potwierdzającego aktualne prowadzenie zgodnie z prawem działalności w </w:t>
      </w:r>
      <w:r>
        <w:t xml:space="preserve">rodzimym państwie członkowskim, </w:t>
      </w:r>
      <w:r>
        <w:t xml:space="preserve">ale tylko w sytuacji jeżeli </w:t>
      </w:r>
      <w:r>
        <w:t xml:space="preserve">właściwy organ nie dysponuje </w:t>
      </w:r>
      <w:r>
        <w:t>ak</w:t>
      </w:r>
      <w:r>
        <w:t>tualnymi danymi w t</w:t>
      </w:r>
      <w:r>
        <w:t>ym zakresie lub nie ma</w:t>
      </w:r>
      <w:r>
        <w:t xml:space="preserve"> możliwości samodzielnego sprawdzenia tego faktu. </w:t>
      </w:r>
    </w:p>
    <w:p w:rsidR="007437CA" w:rsidRDefault="00D52249" w:rsidP="007437CA">
      <w:pPr>
        <w:pStyle w:val="menfont"/>
        <w:ind w:left="1068"/>
        <w:jc w:val="both"/>
      </w:pPr>
    </w:p>
    <w:p w:rsidR="00B43FC8" w:rsidRDefault="00D52249" w:rsidP="00BE398E">
      <w:pPr>
        <w:pStyle w:val="menfont"/>
        <w:ind w:left="1068"/>
        <w:jc w:val="both"/>
      </w:pPr>
      <w:r>
        <w:t>Przepisy ww. rozporządzenia należy czytać łącznie z przepisami dyrektywy 2005/36/WE. Zgodnie z art. 7 ust. 1 i 2 dyrektywy 2005/36/WE państwa członkowskie mogą wym</w:t>
      </w:r>
      <w:r>
        <w:t xml:space="preserve">agać od usługodawcy, który po raz pierwszy przenosi się z jednego państwa członkowskiego do innego w celu świadczenia usług, poinformowania o tym </w:t>
      </w:r>
      <w:r>
        <w:br/>
      </w:r>
      <w:r>
        <w:t>z wyprzedzeniem właściwego organu przyjmującego Państwa Członkowskiego w formie pisemnego oświadczenia obejmu</w:t>
      </w:r>
      <w:r>
        <w:t xml:space="preserve">jącego informacje o posiadanym ubezpieczeniu lub innych środkach indywidualnego lub zbiorowego zabezpieczenia w odniesieniu </w:t>
      </w:r>
      <w:r>
        <w:br/>
      </w:r>
      <w:r>
        <w:t xml:space="preserve">do odpowiedzialności zawodowej. </w:t>
      </w:r>
      <w:r>
        <w:t xml:space="preserve">Można wymagać, aby </w:t>
      </w:r>
      <w:r>
        <w:br/>
      </w:r>
      <w:r>
        <w:lastRenderedPageBreak/>
        <w:t xml:space="preserve">do oświadczenia dołączone zostało </w:t>
      </w:r>
      <w:r>
        <w:t>zaświadczenie potwierdzające</w:t>
      </w:r>
      <w:r>
        <w:t>, że jego posiada</w:t>
      </w:r>
      <w:r>
        <w:t>cz prowadzi zgodnie z prawem działalność w Państwie Członkowskim oraz że w momencie składania zaświadczenia nie obowiązuje go zakaz, nawet tymczasowy, wykonywania tej działalności</w:t>
      </w:r>
      <w:r>
        <w:t xml:space="preserve"> oraz </w:t>
      </w:r>
      <w:r>
        <w:t>zaświadczenia potwierdzającego brak tymczasowego lub stałego zawieszeni</w:t>
      </w:r>
      <w:r>
        <w:t xml:space="preserve">a prawa wykonywania danego zawodu lub o niekaralności, jeśli państwo członkowskie wymaga tego od własnych obywateli, przy prowadzeniu działalności w sektorze bezpieczeństwa, w służbie zdrowia i w zawodach związanych </w:t>
      </w:r>
      <w:r>
        <w:br/>
      </w:r>
      <w:r>
        <w:t>z edukacją osób małoletnich, w tym z op</w:t>
      </w:r>
      <w:r>
        <w:t>ieką</w:t>
      </w:r>
      <w:r>
        <w:t xml:space="preserve"> nad dziećmi i wczesną edukacją</w:t>
      </w:r>
      <w:r>
        <w:t>.</w:t>
      </w:r>
      <w:r>
        <w:t xml:space="preserve"> Niniejsze brzmienie regulacji potwierdza, że osoba zamierzająca w państwie przyjmującym świadczyć usługi tymczasowo i okazjonalnie prowadzi działalność w państwie rodzimym. </w:t>
      </w:r>
    </w:p>
    <w:p w:rsidR="00721AAD" w:rsidRDefault="00D52249" w:rsidP="00721AAD">
      <w:pPr>
        <w:pStyle w:val="menfont"/>
        <w:ind w:left="1068"/>
        <w:jc w:val="both"/>
      </w:pPr>
      <w:r>
        <w:t>Zatem aktualne p</w:t>
      </w:r>
      <w:r>
        <w:t xml:space="preserve">rowadzenie działalności, </w:t>
      </w:r>
      <w:r>
        <w:t>zgod</w:t>
      </w:r>
      <w:r>
        <w:t>nie z art. 6 ust.</w:t>
      </w:r>
      <w:r>
        <w:t xml:space="preserve"> </w:t>
      </w:r>
      <w:r>
        <w:t>2 ww. rozporządzenia KE</w:t>
      </w:r>
      <w:r>
        <w:t>,</w:t>
      </w:r>
      <w:r>
        <w:t xml:space="preserve"> oznacza prowadzenie zgodne z prawem działalności w rodzimym państwie członkowskim w chwili składania wniosku przez wnioskodawcę.</w:t>
      </w:r>
    </w:p>
    <w:p w:rsidR="0024371F" w:rsidRDefault="00D52249" w:rsidP="00721AAD">
      <w:pPr>
        <w:pStyle w:val="menfont"/>
        <w:ind w:left="1068"/>
        <w:jc w:val="both"/>
      </w:pPr>
    </w:p>
    <w:p w:rsidR="00356B5B" w:rsidRDefault="00D52249" w:rsidP="00356B5B">
      <w:pPr>
        <w:pStyle w:val="menfont"/>
        <w:ind w:left="1068"/>
        <w:jc w:val="both"/>
      </w:pPr>
      <w:r>
        <w:t xml:space="preserve">W związku z powyższym </w:t>
      </w:r>
      <w:r>
        <w:t xml:space="preserve">wydaje się, że </w:t>
      </w:r>
      <w:r>
        <w:t>nie jest wystarczające przedłożenie jedynie</w:t>
      </w:r>
      <w:r>
        <w:t xml:space="preserve"> </w:t>
      </w:r>
      <w:r w:rsidRPr="00721AAD">
        <w:t>dokumentu prawa wykony</w:t>
      </w:r>
      <w:r>
        <w:t xml:space="preserve">wania zawodu przez wnioskodawcę lub </w:t>
      </w:r>
      <w:r w:rsidRPr="00721AAD">
        <w:t>dokumentu potwierdzającego wykonywanie zawodu w Polsce za jakikolwiek okres w przeszłości przed złożeniem wniosku o wydanie legitymacji – czyli dokument</w:t>
      </w:r>
      <w:r>
        <w:t>u potwierdzającego</w:t>
      </w:r>
      <w:r w:rsidRPr="00721AAD">
        <w:t xml:space="preserve"> </w:t>
      </w:r>
      <w:r>
        <w:t xml:space="preserve">jedynie </w:t>
      </w:r>
      <w:r w:rsidRPr="00721AAD">
        <w:t>doświadczenie zawod</w:t>
      </w:r>
      <w:r>
        <w:t>owe wnioskodawcy.</w:t>
      </w:r>
      <w:r>
        <w:t xml:space="preserve"> Jednakże należy mieć na uwadze, że ocena dowodów przedstawionych przez wnioskodawcę każdorazowo leży w gestii organu właściwego, tj. właściwej okręgowej izby pielęgniarek i położnych.</w:t>
      </w:r>
    </w:p>
    <w:p w:rsidR="00965CE6" w:rsidRDefault="00D52249" w:rsidP="00207391">
      <w:pPr>
        <w:pStyle w:val="menfont"/>
        <w:jc w:val="both"/>
      </w:pPr>
    </w:p>
    <w:p w:rsidR="00B8495E" w:rsidRPr="00E24C5D" w:rsidRDefault="00D52249" w:rsidP="00BA7D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Fakt prowadzenia</w:t>
      </w:r>
      <w:r w:rsidRPr="00E24C5D">
        <w:rPr>
          <w:rFonts w:ascii="Arial" w:hAnsi="Arial" w:cs="Arial"/>
          <w:sz w:val="24"/>
          <w:szCs w:val="24"/>
          <w:lang w:eastAsia="pl-PL"/>
        </w:rPr>
        <w:t xml:space="preserve"> przez wnioskodawcę działalności zgod</w:t>
      </w:r>
      <w:r w:rsidRPr="00E24C5D">
        <w:rPr>
          <w:rFonts w:ascii="Arial" w:hAnsi="Arial" w:cs="Arial"/>
          <w:sz w:val="24"/>
          <w:szCs w:val="24"/>
          <w:lang w:eastAsia="pl-PL"/>
        </w:rPr>
        <w:t xml:space="preserve">nie z prawem (art. 6 ust. 2 akapit 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Pr="00E24C5D">
        <w:rPr>
          <w:rFonts w:ascii="Arial" w:hAnsi="Arial" w:cs="Arial"/>
          <w:sz w:val="24"/>
          <w:szCs w:val="24"/>
          <w:lang w:eastAsia="pl-PL"/>
        </w:rPr>
        <w:t xml:space="preserve"> ww. rozporządzenia wykonawczego KE</w:t>
      </w:r>
      <w:r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jest sprawdzany i poświadczany</w:t>
      </w:r>
      <w:r w:rsidRPr="00E24C5D">
        <w:rPr>
          <w:rFonts w:ascii="Arial" w:hAnsi="Arial" w:cs="Arial"/>
          <w:sz w:val="24"/>
          <w:szCs w:val="24"/>
          <w:lang w:eastAsia="pl-PL"/>
        </w:rPr>
        <w:t xml:space="preserve"> w dokumentacji w systemie IMI przez organ właściwy rodzime</w:t>
      </w:r>
      <w:r>
        <w:rPr>
          <w:rFonts w:ascii="Arial" w:hAnsi="Arial" w:cs="Arial"/>
          <w:sz w:val="24"/>
          <w:szCs w:val="24"/>
          <w:lang w:eastAsia="pl-PL"/>
        </w:rPr>
        <w:t>go państwa członkowskiego, tj.</w:t>
      </w:r>
      <w:r w:rsidRPr="00E24C5D">
        <w:rPr>
          <w:rFonts w:ascii="Arial" w:hAnsi="Arial" w:cs="Arial"/>
          <w:sz w:val="24"/>
          <w:szCs w:val="24"/>
          <w:lang w:eastAsia="pl-PL"/>
        </w:rPr>
        <w:t xml:space="preserve"> okręgowe izby pielęgniarek i położnych. Organ zamieszcza wszelk</w:t>
      </w:r>
      <w:r w:rsidRPr="00E24C5D">
        <w:rPr>
          <w:rFonts w:ascii="Arial" w:hAnsi="Arial" w:cs="Arial"/>
          <w:sz w:val="24"/>
          <w:szCs w:val="24"/>
          <w:lang w:eastAsia="pl-PL"/>
        </w:rPr>
        <w:t>ie odpowiednie dowody prowadzenia działalności przez wnioskodawcę lub dodaje odniesienia do odpowiedniego krajowego rejestru.</w:t>
      </w:r>
    </w:p>
    <w:p w:rsidR="00B8495E" w:rsidRDefault="00D52249" w:rsidP="00B8495E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:rsidR="00E24C5D" w:rsidRDefault="00D52249" w:rsidP="00163CF4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zgodnie z art. 6 ust. 2 akapit 3 ww. rozporządzenia j</w:t>
      </w:r>
      <w:r w:rsidRPr="00E24C5D">
        <w:rPr>
          <w:rFonts w:ascii="Arial" w:hAnsi="Arial" w:cs="Arial"/>
          <w:sz w:val="24"/>
          <w:szCs w:val="24"/>
        </w:rPr>
        <w:t xml:space="preserve">eżeli właściwy organ rodzimego państwa członkowskiego nie jest w </w:t>
      </w:r>
      <w:r w:rsidRPr="00E24C5D">
        <w:rPr>
          <w:rFonts w:ascii="Arial" w:hAnsi="Arial" w:cs="Arial"/>
          <w:sz w:val="24"/>
          <w:szCs w:val="24"/>
        </w:rPr>
        <w:t>stanie w żaden inny sposób potwierdzić, że wnioskodawca prowadzi zgodnie z prawem działalność na terytorium tego państwa członkowskiego, to zwraca się do wnioskodawcy o przedstawienie dowodu prowadzenia przez nieg</w:t>
      </w:r>
      <w:r>
        <w:rPr>
          <w:rFonts w:ascii="Arial" w:hAnsi="Arial" w:cs="Arial"/>
          <w:sz w:val="24"/>
          <w:szCs w:val="24"/>
        </w:rPr>
        <w:t>o zgodnie z prawem działalności (art. 6 ust</w:t>
      </w:r>
      <w:r>
        <w:rPr>
          <w:rFonts w:ascii="Arial" w:hAnsi="Arial" w:cs="Arial"/>
          <w:sz w:val="24"/>
          <w:szCs w:val="24"/>
        </w:rPr>
        <w:t>. 2 ww. rozporządzenia wykonawczego KE)</w:t>
      </w:r>
      <w:r>
        <w:rPr>
          <w:rFonts w:ascii="Arial" w:hAnsi="Arial" w:cs="Arial"/>
          <w:sz w:val="24"/>
          <w:szCs w:val="24"/>
        </w:rPr>
        <w:t>.</w:t>
      </w:r>
    </w:p>
    <w:p w:rsidR="00163CF4" w:rsidRPr="00163CF4" w:rsidRDefault="00D52249" w:rsidP="00163CF4">
      <w:pPr>
        <w:pStyle w:val="Akapitzlist"/>
        <w:ind w:left="1068"/>
        <w:jc w:val="both"/>
        <w:rPr>
          <w:rFonts w:ascii="Arial" w:hAnsi="Arial" w:cs="Arial"/>
          <w:sz w:val="24"/>
          <w:szCs w:val="24"/>
          <w:lang w:eastAsia="pl-PL"/>
        </w:rPr>
      </w:pPr>
    </w:p>
    <w:p w:rsidR="00B8495E" w:rsidRPr="0082311B" w:rsidRDefault="00D52249" w:rsidP="0082311B">
      <w:pPr>
        <w:pStyle w:val="Akapitzlist"/>
        <w:ind w:left="106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związku z powyższym w</w:t>
      </w:r>
      <w:r>
        <w:rPr>
          <w:rFonts w:ascii="Arial" w:hAnsi="Arial" w:cs="Arial"/>
          <w:sz w:val="24"/>
          <w:szCs w:val="24"/>
          <w:lang w:eastAsia="pl-PL"/>
        </w:rPr>
        <w:t>ydaje się, że</w:t>
      </w:r>
      <w:r>
        <w:rPr>
          <w:rFonts w:ascii="Arial" w:hAnsi="Arial" w:cs="Arial"/>
          <w:sz w:val="24"/>
          <w:szCs w:val="24"/>
          <w:lang w:eastAsia="pl-PL"/>
        </w:rPr>
        <w:t xml:space="preserve"> jako dowód prowadzenia działalności zgodnie z prawem moż</w:t>
      </w:r>
      <w:r>
        <w:rPr>
          <w:rFonts w:ascii="Arial" w:hAnsi="Arial" w:cs="Arial"/>
          <w:sz w:val="24"/>
          <w:szCs w:val="24"/>
          <w:lang w:eastAsia="pl-PL"/>
        </w:rPr>
        <w:t>na</w:t>
      </w:r>
      <w:r>
        <w:rPr>
          <w:rFonts w:ascii="Arial" w:hAnsi="Arial" w:cs="Arial"/>
          <w:sz w:val="24"/>
          <w:szCs w:val="24"/>
          <w:lang w:eastAsia="pl-PL"/>
        </w:rPr>
        <w:t xml:space="preserve"> uznać zarówno dokument przedstawiony z podmiotu, który zatrudnia wnioskodawcę lub </w:t>
      </w:r>
      <w:r>
        <w:rPr>
          <w:rFonts w:ascii="Arial" w:hAnsi="Arial" w:cs="Arial"/>
          <w:sz w:val="24"/>
          <w:szCs w:val="24"/>
          <w:lang w:eastAsia="pl-PL"/>
        </w:rPr>
        <w:lastRenderedPageBreak/>
        <w:t>dokument</w:t>
      </w:r>
      <w:r>
        <w:rPr>
          <w:rFonts w:ascii="Arial" w:hAnsi="Arial" w:cs="Arial"/>
          <w:sz w:val="24"/>
          <w:szCs w:val="24"/>
          <w:lang w:eastAsia="pl-PL"/>
        </w:rPr>
        <w:t xml:space="preserve">, potwierdzający prowadzenie działalności, </w:t>
      </w:r>
      <w:r>
        <w:rPr>
          <w:rFonts w:ascii="Arial" w:hAnsi="Arial" w:cs="Arial"/>
          <w:sz w:val="24"/>
          <w:szCs w:val="24"/>
          <w:lang w:eastAsia="pl-PL"/>
        </w:rPr>
        <w:t xml:space="preserve">tj. </w:t>
      </w:r>
      <w:r>
        <w:rPr>
          <w:rFonts w:ascii="Arial" w:hAnsi="Arial" w:cs="Arial"/>
          <w:sz w:val="24"/>
          <w:szCs w:val="24"/>
        </w:rPr>
        <w:t>z</w:t>
      </w:r>
      <w:r w:rsidRPr="00D271A7">
        <w:rPr>
          <w:rFonts w:ascii="Arial" w:hAnsi="Arial" w:cs="Arial"/>
          <w:sz w:val="24"/>
          <w:szCs w:val="24"/>
        </w:rPr>
        <w:t>aświadczenie stwierdzające charakter, okres i rodzaj działalności</w:t>
      </w:r>
      <w:r>
        <w:rPr>
          <w:rFonts w:ascii="Arial" w:hAnsi="Arial" w:cs="Arial"/>
          <w:sz w:val="24"/>
          <w:szCs w:val="24"/>
        </w:rPr>
        <w:t xml:space="preserve">, wydawane przez marszałka województwa </w:t>
      </w:r>
      <w:r>
        <w:rPr>
          <w:rFonts w:ascii="Arial" w:hAnsi="Arial" w:cs="Arial"/>
          <w:sz w:val="24"/>
          <w:szCs w:val="24"/>
        </w:rPr>
        <w:t xml:space="preserve"> na podstawie </w:t>
      </w:r>
      <w:r>
        <w:rPr>
          <w:rFonts w:ascii="Arial" w:hAnsi="Arial" w:cs="Arial"/>
          <w:sz w:val="24"/>
          <w:szCs w:val="24"/>
        </w:rPr>
        <w:t xml:space="preserve">art. 10 </w:t>
      </w:r>
      <w:r w:rsidRPr="00721AAD">
        <w:rPr>
          <w:rFonts w:ascii="Arial" w:hAnsi="Arial" w:cs="Arial"/>
          <w:sz w:val="24"/>
          <w:szCs w:val="24"/>
          <w:lang w:eastAsia="pl-PL"/>
        </w:rPr>
        <w:t>ustawy z dnia 22 grudnia 2015 r. o zasadach uznawania k</w:t>
      </w:r>
      <w:r>
        <w:rPr>
          <w:rFonts w:ascii="Arial" w:hAnsi="Arial" w:cs="Arial"/>
          <w:sz w:val="24"/>
          <w:szCs w:val="24"/>
          <w:lang w:eastAsia="pl-PL"/>
        </w:rPr>
        <w:t>walifikacji zawodowych naby</w:t>
      </w:r>
      <w:r>
        <w:rPr>
          <w:rFonts w:ascii="Arial" w:hAnsi="Arial" w:cs="Arial"/>
          <w:sz w:val="24"/>
          <w:szCs w:val="24"/>
          <w:lang w:eastAsia="pl-PL"/>
        </w:rPr>
        <w:t xml:space="preserve">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2311B">
        <w:rPr>
          <w:rFonts w:ascii="Arial" w:hAnsi="Arial" w:cs="Arial"/>
          <w:sz w:val="24"/>
          <w:szCs w:val="24"/>
          <w:lang w:eastAsia="pl-PL"/>
        </w:rPr>
        <w:t>w państwach członkowskich Unii Europejskiej</w:t>
      </w:r>
      <w:r w:rsidRPr="0082311B">
        <w:rPr>
          <w:rFonts w:ascii="Arial" w:hAnsi="Arial" w:cs="Arial"/>
          <w:sz w:val="24"/>
          <w:szCs w:val="24"/>
        </w:rPr>
        <w:t xml:space="preserve"> </w:t>
      </w:r>
      <w:r w:rsidRPr="0082311B">
        <w:rPr>
          <w:rFonts w:ascii="Arial" w:hAnsi="Arial" w:cs="Arial"/>
          <w:sz w:val="24"/>
          <w:szCs w:val="24"/>
        </w:rPr>
        <w:t>(</w:t>
      </w:r>
      <w:r w:rsidRPr="0082311B">
        <w:rPr>
          <w:rFonts w:ascii="Arial" w:hAnsi="Arial" w:cs="Arial"/>
          <w:sz w:val="24"/>
          <w:szCs w:val="24"/>
        </w:rPr>
        <w:t>Dz. U. z 2020 r. poz. 220 oraz z 2021 r. poz. 78.</w:t>
      </w:r>
      <w:r w:rsidRPr="0082311B">
        <w:rPr>
          <w:rFonts w:ascii="Arial" w:hAnsi="Arial" w:cs="Arial"/>
          <w:sz w:val="24"/>
          <w:szCs w:val="24"/>
        </w:rPr>
        <w:t>)</w:t>
      </w:r>
    </w:p>
    <w:p w:rsidR="00D271A7" w:rsidRDefault="00D52249" w:rsidP="00B8495E">
      <w:pPr>
        <w:pStyle w:val="Akapitzlist"/>
        <w:ind w:left="1068"/>
        <w:jc w:val="both"/>
        <w:rPr>
          <w:rFonts w:ascii="Arial" w:hAnsi="Arial" w:cs="Arial"/>
          <w:sz w:val="24"/>
          <w:szCs w:val="24"/>
          <w:lang w:eastAsia="pl-PL"/>
        </w:rPr>
      </w:pPr>
    </w:p>
    <w:p w:rsidR="00E24C5D" w:rsidRPr="00F0070D" w:rsidRDefault="00D52249" w:rsidP="00F0070D">
      <w:pPr>
        <w:pStyle w:val="Akapitzlist"/>
        <w:ind w:left="106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Równocześnie wydaje się niewłaściwe interpretowanie zaświadczenia </w:t>
      </w:r>
      <w:r>
        <w:rPr>
          <w:rFonts w:ascii="Arial" w:hAnsi="Arial" w:cs="Arial"/>
          <w:sz w:val="24"/>
          <w:szCs w:val="24"/>
        </w:rPr>
        <w:t>wymienionego</w:t>
      </w:r>
      <w:r w:rsidRPr="00721AAD">
        <w:rPr>
          <w:rFonts w:ascii="Arial" w:hAnsi="Arial" w:cs="Arial"/>
          <w:sz w:val="24"/>
          <w:szCs w:val="24"/>
        </w:rPr>
        <w:t xml:space="preserve"> w części B pkt b załącznika II ww. rozporządzenia </w:t>
      </w:r>
      <w:r>
        <w:rPr>
          <w:rFonts w:ascii="Arial" w:hAnsi="Arial" w:cs="Arial"/>
          <w:sz w:val="24"/>
          <w:szCs w:val="24"/>
        </w:rPr>
        <w:t xml:space="preserve">jako </w:t>
      </w:r>
      <w:r>
        <w:rPr>
          <w:rFonts w:ascii="Arial" w:hAnsi="Arial" w:cs="Arial"/>
          <w:sz w:val="24"/>
          <w:szCs w:val="24"/>
        </w:rPr>
        <w:t xml:space="preserve">jedynie tego </w:t>
      </w:r>
      <w:r w:rsidRPr="00721AAD">
        <w:rPr>
          <w:rFonts w:ascii="Arial" w:hAnsi="Arial" w:cs="Arial"/>
          <w:sz w:val="24"/>
          <w:szCs w:val="24"/>
        </w:rPr>
        <w:t>zaświadczeni</w:t>
      </w:r>
      <w:r>
        <w:rPr>
          <w:rFonts w:ascii="Arial" w:hAnsi="Arial" w:cs="Arial"/>
          <w:sz w:val="24"/>
          <w:szCs w:val="24"/>
        </w:rPr>
        <w:t>a</w:t>
      </w:r>
      <w:r w:rsidRPr="00721AAD">
        <w:rPr>
          <w:rFonts w:ascii="Arial" w:hAnsi="Arial" w:cs="Arial"/>
          <w:sz w:val="24"/>
          <w:szCs w:val="24"/>
        </w:rPr>
        <w:t>, o którym mowa w art.</w:t>
      </w:r>
      <w:r w:rsidRPr="00721AAD">
        <w:rPr>
          <w:rStyle w:val="alb"/>
          <w:rFonts w:ascii="Arial" w:hAnsi="Arial" w:cs="Arial"/>
          <w:sz w:val="24"/>
          <w:szCs w:val="24"/>
        </w:rPr>
        <w:t xml:space="preserve"> 10 </w:t>
      </w:r>
      <w:r>
        <w:rPr>
          <w:rStyle w:val="alb"/>
          <w:rFonts w:ascii="Arial" w:hAnsi="Arial" w:cs="Arial"/>
          <w:sz w:val="24"/>
          <w:szCs w:val="24"/>
        </w:rPr>
        <w:t xml:space="preserve">ww. </w:t>
      </w:r>
      <w:r w:rsidRPr="00721AAD">
        <w:rPr>
          <w:rFonts w:ascii="Arial" w:hAnsi="Arial" w:cs="Arial"/>
          <w:sz w:val="24"/>
          <w:szCs w:val="24"/>
          <w:lang w:eastAsia="pl-PL"/>
        </w:rPr>
        <w:t>ustawy</w:t>
      </w:r>
      <w:r>
        <w:rPr>
          <w:rFonts w:ascii="Arial" w:hAnsi="Arial" w:cs="Arial"/>
          <w:sz w:val="24"/>
          <w:szCs w:val="24"/>
          <w:lang w:eastAsia="pl-PL"/>
        </w:rPr>
        <w:t>, czyli uznawania, że artykuł 10 ww. ustawy jest wdrożeniem do polskiego prawa przepisów załącznika II w części B pkt ww. rozporządzenia.</w:t>
      </w:r>
      <w:r>
        <w:rPr>
          <w:rFonts w:ascii="Arial" w:hAnsi="Arial" w:cs="Arial"/>
          <w:sz w:val="24"/>
          <w:szCs w:val="24"/>
          <w:lang w:eastAsia="pl-PL"/>
        </w:rPr>
        <w:t xml:space="preserve"> Prowadzenie</w:t>
      </w:r>
      <w:r>
        <w:rPr>
          <w:rFonts w:ascii="Arial" w:hAnsi="Arial" w:cs="Arial"/>
          <w:sz w:val="24"/>
          <w:szCs w:val="24"/>
          <w:lang w:eastAsia="pl-PL"/>
        </w:rPr>
        <w:t xml:space="preserve"> działalno</w:t>
      </w:r>
      <w:r>
        <w:rPr>
          <w:rFonts w:ascii="Arial" w:hAnsi="Arial" w:cs="Arial"/>
          <w:sz w:val="24"/>
          <w:szCs w:val="24"/>
          <w:lang w:eastAsia="pl-PL"/>
        </w:rPr>
        <w:t xml:space="preserve">ści może zostać potwierdzone również </w:t>
      </w:r>
      <w:r>
        <w:rPr>
          <w:rFonts w:ascii="Arial" w:hAnsi="Arial" w:cs="Arial"/>
          <w:sz w:val="24"/>
          <w:szCs w:val="24"/>
          <w:lang w:eastAsia="pl-PL"/>
        </w:rPr>
        <w:t>inne</w:t>
      </w:r>
      <w:r>
        <w:rPr>
          <w:rFonts w:ascii="Arial" w:hAnsi="Arial" w:cs="Arial"/>
          <w:sz w:val="24"/>
          <w:szCs w:val="24"/>
          <w:lang w:eastAsia="pl-PL"/>
        </w:rPr>
        <w:t xml:space="preserve">go </w:t>
      </w:r>
      <w:r>
        <w:rPr>
          <w:rFonts w:ascii="Arial" w:hAnsi="Arial" w:cs="Arial"/>
          <w:sz w:val="24"/>
          <w:szCs w:val="24"/>
          <w:lang w:eastAsia="pl-PL"/>
        </w:rPr>
        <w:t>rodzaju dokumentami potwierdzającymi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ten fakt.</w:t>
      </w:r>
    </w:p>
    <w:p w:rsidR="00863A11" w:rsidRDefault="00D52249" w:rsidP="003877D7">
      <w:pPr>
        <w:pStyle w:val="Akapitzlist"/>
        <w:ind w:left="1068"/>
        <w:jc w:val="both"/>
        <w:rPr>
          <w:rFonts w:ascii="Arial" w:hAnsi="Arial" w:cs="Arial"/>
          <w:sz w:val="24"/>
          <w:szCs w:val="24"/>
          <w:lang w:eastAsia="pl-PL"/>
        </w:rPr>
      </w:pPr>
    </w:p>
    <w:p w:rsidR="00BA7D4D" w:rsidRDefault="00D52249" w:rsidP="00BA7D4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4c ust. 3 i </w:t>
      </w:r>
      <w:r w:rsidRPr="00B350F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7 dyrektywy 2005/36/WE w</w:t>
      </w:r>
      <w:r>
        <w:rPr>
          <w:rFonts w:ascii="Arial" w:hAnsi="Arial" w:cs="Arial"/>
        </w:rPr>
        <w:t xml:space="preserve"> przypadku przedłużenia</w:t>
      </w:r>
      <w:r w:rsidRPr="00B350F0">
        <w:rPr>
          <w:rFonts w:ascii="Arial" w:hAnsi="Arial" w:cs="Arial"/>
        </w:rPr>
        <w:t xml:space="preserve"> ważności europejskiej legitymacji zawodowej w celu tymczasowego i okazjonalnego świadczenia usług </w:t>
      </w:r>
      <w:r>
        <w:rPr>
          <w:rFonts w:ascii="Arial" w:hAnsi="Arial" w:cs="Arial"/>
        </w:rPr>
        <w:t>w</w:t>
      </w:r>
      <w:r w:rsidRPr="00B350F0">
        <w:rPr>
          <w:rFonts w:ascii="Arial" w:hAnsi="Arial" w:cs="Arial"/>
        </w:rPr>
        <w:t>łaściwy organ może wymagać od</w:t>
      </w:r>
      <w:r w:rsidRPr="00B350F0">
        <w:rPr>
          <w:rFonts w:ascii="Arial" w:hAnsi="Arial" w:cs="Arial"/>
        </w:rPr>
        <w:t xml:space="preserve"> usługodawcy ponownego przedłożenia dokumentów</w:t>
      </w:r>
      <w:r w:rsidRPr="00CE19D5">
        <w:rPr>
          <w:rFonts w:ascii="Arial" w:hAnsi="Arial" w:cs="Arial"/>
        </w:rPr>
        <w:t xml:space="preserve"> </w:t>
      </w:r>
      <w:r w:rsidRPr="00B350F0">
        <w:rPr>
          <w:rFonts w:ascii="Arial" w:hAnsi="Arial" w:cs="Arial"/>
        </w:rPr>
        <w:t xml:space="preserve">jeśli nastąpiła </w:t>
      </w:r>
      <w:r>
        <w:rPr>
          <w:rFonts w:ascii="Arial" w:hAnsi="Arial" w:cs="Arial"/>
        </w:rPr>
        <w:t xml:space="preserve">istotna </w:t>
      </w:r>
      <w:r w:rsidRPr="00B350F0">
        <w:rPr>
          <w:rFonts w:ascii="Arial" w:hAnsi="Arial" w:cs="Arial"/>
        </w:rPr>
        <w:t xml:space="preserve">zmiana stanu potwierdzonego wcześniej złożonymi </w:t>
      </w:r>
      <w:r>
        <w:rPr>
          <w:rFonts w:ascii="Arial" w:hAnsi="Arial" w:cs="Arial"/>
        </w:rPr>
        <w:t>dokumentami.</w:t>
      </w:r>
    </w:p>
    <w:p w:rsidR="00F0070D" w:rsidRPr="00F0070D" w:rsidRDefault="00D52249" w:rsidP="00F0070D">
      <w:pPr>
        <w:pStyle w:val="Default"/>
        <w:ind w:left="708"/>
        <w:jc w:val="both"/>
        <w:rPr>
          <w:rFonts w:ascii="Arial" w:hAnsi="Arial" w:cs="Arial"/>
        </w:rPr>
      </w:pPr>
    </w:p>
    <w:p w:rsidR="00BA7D4D" w:rsidRDefault="00D52249" w:rsidP="00BA7D4D">
      <w:pPr>
        <w:pStyle w:val="menfont"/>
      </w:pPr>
    </w:p>
    <w:p w:rsidR="00F0070D" w:rsidRPr="00731D28" w:rsidRDefault="00D52249" w:rsidP="00BA7D4D">
      <w:pPr>
        <w:pStyle w:val="menfont"/>
      </w:pPr>
    </w:p>
    <w:p w:rsidR="00BA7D4D" w:rsidRPr="00731D28" w:rsidRDefault="00D52249" w:rsidP="00C039CD">
      <w:pPr>
        <w:pStyle w:val="menfont"/>
        <w:ind w:left="4678" w:right="-143"/>
        <w:jc w:val="center"/>
        <w:rPr>
          <w:i/>
        </w:rPr>
      </w:pPr>
      <w:r>
        <w:rPr>
          <w:i/>
        </w:rPr>
        <w:t>Z wyrazami szacunku,</w:t>
      </w:r>
    </w:p>
    <w:p w:rsidR="00BA7D4D" w:rsidRPr="00731D28" w:rsidRDefault="00D52249" w:rsidP="00BA7D4D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309245</wp:posOffset>
                </wp:positionV>
                <wp:extent cx="2857500" cy="185737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D4D" w:rsidRPr="00731D28" w:rsidRDefault="00D52249" w:rsidP="00BA7D4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3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Dagmara Tomczak</w:t>
                            </w:r>
                            <w:bookmarkEnd w:id="13"/>
                          </w:p>
                          <w:p w:rsidR="00BA7D4D" w:rsidRPr="00731D28" w:rsidRDefault="00D52249" w:rsidP="00BA7D4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Koordynator</w:t>
                            </w:r>
                            <w:r w:rsidRPr="00C033B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systemu uznawania kwalifikacji zawodowych w zawodach regulowanych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działalnościach regulowanych w </w:t>
                            </w:r>
                            <w:r w:rsidRPr="00C033B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Rzeczypospolitej Polskiej</w:t>
                            </w:r>
                            <w:bookmarkEnd w:id="14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3822A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podpisano kwalifikowanym podpisem elektronicznym – 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46.25pt;margin-left:232.95pt;margin-top:24.35pt;mso-height-percent:0;mso-height-relative:margin;mso-position-horizontal-relative:margin;mso-width-percent:0;mso-width-relative:margin;mso-wrap-distance-bottom:0;mso-wrap-distance-left:9pt;mso-wrap-distance-right:9pt;mso-wrap-distance-top:0;position:absolute;width:225pt;z-index:251658240" filled="f" fillcolor="this" stroked="f">
                <v:textbox>
                  <w:txbxContent>
                    <w:p w:rsidR="00BA7D4D" w:rsidRPr="00731D28" w:rsidP="00BA7D4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3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Dagmara Tomczak</w:t>
                      </w:r>
                      <w:bookmarkEnd w:id="13"/>
                    </w:p>
                    <w:p w:rsidR="00BA7D4D" w:rsidRPr="00731D28" w:rsidP="00BA7D4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4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Koordynator</w:t>
                      </w:r>
                      <w:r w:rsidRPr="00C033BD">
                        <w:rPr>
                          <w:rFonts w:ascii="Times New Roman" w:hAnsi="Times New Roman" w:cs="Times New Roman"/>
                          <w:sz w:val="22"/>
                        </w:rPr>
                        <w:t xml:space="preserve"> systemu uznawania kwalifikacji zawodowych w zawodach regulowanych i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działalnościach regulowanych w </w:t>
                      </w:r>
                      <w:r w:rsidRPr="00C033BD">
                        <w:rPr>
                          <w:rFonts w:ascii="Times New Roman" w:hAnsi="Times New Roman" w:cs="Times New Roman"/>
                          <w:sz w:val="22"/>
                        </w:rPr>
                        <w:t>Rzeczypospolitej Polskiej</w:t>
                      </w:r>
                      <w:bookmarkEnd w:id="14"/>
                      <w:r w:rsidRPr="00731D28" w:rsidR="008966AB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3822AB" w:rsidR="008966AB">
                        <w:rPr>
                          <w:rFonts w:ascii="Times New Roman" w:hAnsi="Times New Roman" w:cs="Times New Roman"/>
                          <w:sz w:val="22"/>
                        </w:rPr>
                        <w:t>/ – podpisano kwalifikowanym podpisem elektronicznym – 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A7D4D" w:rsidRPr="00731D28" w:rsidRDefault="00D52249" w:rsidP="00BA7D4D"/>
    <w:p w:rsidR="00BA7D4D" w:rsidRPr="00731D28" w:rsidRDefault="00D52249" w:rsidP="00BA7D4D"/>
    <w:p w:rsidR="00BA7D4D" w:rsidRPr="00731D28" w:rsidRDefault="00D52249" w:rsidP="00BA7D4D"/>
    <w:p w:rsidR="00BA7D4D" w:rsidRPr="00731D28" w:rsidRDefault="00D52249" w:rsidP="00BA7D4D"/>
    <w:p w:rsidR="00BA7D4D" w:rsidRPr="00731D28" w:rsidRDefault="00D52249" w:rsidP="00BA7D4D"/>
    <w:p w:rsidR="00BA7D4D" w:rsidRDefault="00D52249" w:rsidP="00BA7D4D"/>
    <w:p w:rsidR="00BA7D4D" w:rsidRPr="00731D28" w:rsidRDefault="00D52249" w:rsidP="00BA7D4D"/>
    <w:sectPr w:rsidR="00BA7D4D" w:rsidRPr="00731D28" w:rsidSect="00BA7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49" w:rsidRDefault="00D52249">
      <w:r>
        <w:separator/>
      </w:r>
    </w:p>
  </w:endnote>
  <w:endnote w:type="continuationSeparator" w:id="0">
    <w:p w:rsidR="00D52249" w:rsidRDefault="00D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Default="00D52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Pr="004E0DF4" w:rsidRDefault="00D52249" w:rsidP="00BA7D4D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BA7D4D" w:rsidRDefault="00D52249" w:rsidP="00BA7D4D">
    <w:pPr>
      <w:pStyle w:val="Stopka"/>
      <w:jc w:val="center"/>
      <w:rPr>
        <w:rFonts w:asciiTheme="majorHAnsi" w:hAnsiTheme="majorHAnsi"/>
        <w:sz w:val="16"/>
      </w:rPr>
    </w:pPr>
    <w:r w:rsidRPr="002C1990">
      <w:rPr>
        <w:rFonts w:asciiTheme="majorHAnsi" w:hAnsiTheme="majorHAnsi"/>
        <w:color w:val="7F7F7F" w:themeColor="text1" w:themeTint="80"/>
        <w:sz w:val="18"/>
        <w:szCs w:val="18"/>
      </w:rPr>
      <w:t xml:space="preserve">DEPARTAMENT WSPÓŁPRACY </w:t>
    </w:r>
    <w:r w:rsidRPr="002C1990">
      <w:rPr>
        <w:rFonts w:asciiTheme="majorHAnsi" w:hAnsiTheme="majorHAnsi"/>
        <w:color w:val="7F7F7F" w:themeColor="text1" w:themeTint="80"/>
        <w:sz w:val="18"/>
        <w:szCs w:val="18"/>
      </w:rPr>
      <w:t>MIĘDZYNARODOWEJ</w:t>
    </w:r>
  </w:p>
  <w:p w:rsidR="00BA7D4D" w:rsidRPr="002C1990" w:rsidRDefault="00D52249" w:rsidP="00BA7D4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Pr="004E0DF4" w:rsidRDefault="00D52249" w:rsidP="00BA7D4D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BA7D4D" w:rsidRDefault="00D52249" w:rsidP="00BA7D4D">
    <w:pPr>
      <w:pStyle w:val="Stopka"/>
      <w:jc w:val="center"/>
      <w:rPr>
        <w:rFonts w:asciiTheme="majorHAnsi" w:hAnsiTheme="majorHAnsi"/>
        <w:sz w:val="16"/>
      </w:rPr>
    </w:pPr>
    <w:r w:rsidRPr="002C1990">
      <w:rPr>
        <w:rFonts w:asciiTheme="majorHAnsi" w:hAnsiTheme="majorHAnsi"/>
        <w:color w:val="7F7F7F" w:themeColor="text1" w:themeTint="80"/>
        <w:sz w:val="18"/>
        <w:szCs w:val="18"/>
      </w:rPr>
      <w:t xml:space="preserve">DEPARTAMENT WSPÓŁPRACY </w:t>
    </w:r>
    <w:r w:rsidRPr="002C1990">
      <w:rPr>
        <w:rFonts w:asciiTheme="majorHAnsi" w:hAnsiTheme="majorHAnsi"/>
        <w:color w:val="7F7F7F" w:themeColor="text1" w:themeTint="80"/>
        <w:sz w:val="18"/>
        <w:szCs w:val="18"/>
      </w:rPr>
      <w:t>MIĘDZYNARODOWEJ</w:t>
    </w:r>
  </w:p>
  <w:p w:rsidR="00BA7D4D" w:rsidRPr="00731D28" w:rsidRDefault="00D52249" w:rsidP="00BA7D4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49" w:rsidRDefault="00D52249">
      <w:r>
        <w:separator/>
      </w:r>
    </w:p>
  </w:footnote>
  <w:footnote w:type="continuationSeparator" w:id="0">
    <w:p w:rsidR="00D52249" w:rsidRDefault="00D5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Default="00D522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Default="00D522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D" w:rsidRPr="004E0DF4" w:rsidRDefault="00D52249" w:rsidP="00BA7D4D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BA7D4D" w:rsidRPr="0062693B" w:rsidRDefault="00D52249" w:rsidP="00BA7D4D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BA7D4D" w:rsidRPr="00731D28" w:rsidRDefault="00D52249" w:rsidP="00BA7D4D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927"/>
    <w:multiLevelType w:val="hybridMultilevel"/>
    <w:tmpl w:val="30F4616E"/>
    <w:lvl w:ilvl="0" w:tplc="7C543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EE34BC" w:tentative="1">
      <w:start w:val="1"/>
      <w:numFmt w:val="lowerLetter"/>
      <w:lvlText w:val="%2."/>
      <w:lvlJc w:val="left"/>
      <w:pPr>
        <w:ind w:left="1788" w:hanging="360"/>
      </w:pPr>
    </w:lvl>
    <w:lvl w:ilvl="2" w:tplc="853A7E50" w:tentative="1">
      <w:start w:val="1"/>
      <w:numFmt w:val="lowerRoman"/>
      <w:lvlText w:val="%3."/>
      <w:lvlJc w:val="right"/>
      <w:pPr>
        <w:ind w:left="2508" w:hanging="180"/>
      </w:pPr>
    </w:lvl>
    <w:lvl w:ilvl="3" w:tplc="427A9D10" w:tentative="1">
      <w:start w:val="1"/>
      <w:numFmt w:val="decimal"/>
      <w:lvlText w:val="%4."/>
      <w:lvlJc w:val="left"/>
      <w:pPr>
        <w:ind w:left="3228" w:hanging="360"/>
      </w:pPr>
    </w:lvl>
    <w:lvl w:ilvl="4" w:tplc="FEEEB9D6" w:tentative="1">
      <w:start w:val="1"/>
      <w:numFmt w:val="lowerLetter"/>
      <w:lvlText w:val="%5."/>
      <w:lvlJc w:val="left"/>
      <w:pPr>
        <w:ind w:left="3948" w:hanging="360"/>
      </w:pPr>
    </w:lvl>
    <w:lvl w:ilvl="5" w:tplc="DD409946" w:tentative="1">
      <w:start w:val="1"/>
      <w:numFmt w:val="lowerRoman"/>
      <w:lvlText w:val="%6."/>
      <w:lvlJc w:val="right"/>
      <w:pPr>
        <w:ind w:left="4668" w:hanging="180"/>
      </w:pPr>
    </w:lvl>
    <w:lvl w:ilvl="6" w:tplc="B2D0616E" w:tentative="1">
      <w:start w:val="1"/>
      <w:numFmt w:val="decimal"/>
      <w:lvlText w:val="%7."/>
      <w:lvlJc w:val="left"/>
      <w:pPr>
        <w:ind w:left="5388" w:hanging="360"/>
      </w:pPr>
    </w:lvl>
    <w:lvl w:ilvl="7" w:tplc="4E6E5DAA" w:tentative="1">
      <w:start w:val="1"/>
      <w:numFmt w:val="lowerLetter"/>
      <w:lvlText w:val="%8."/>
      <w:lvlJc w:val="left"/>
      <w:pPr>
        <w:ind w:left="6108" w:hanging="360"/>
      </w:pPr>
    </w:lvl>
    <w:lvl w:ilvl="8" w:tplc="D5DCE8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B1796"/>
    <w:multiLevelType w:val="hybridMultilevel"/>
    <w:tmpl w:val="C3449EE2"/>
    <w:lvl w:ilvl="0" w:tplc="36DCE310">
      <w:start w:val="1"/>
      <w:numFmt w:val="decimal"/>
      <w:lvlText w:val="%1."/>
      <w:lvlJc w:val="left"/>
      <w:pPr>
        <w:ind w:left="720" w:hanging="360"/>
      </w:pPr>
    </w:lvl>
    <w:lvl w:ilvl="1" w:tplc="79A29F5C">
      <w:start w:val="1"/>
      <w:numFmt w:val="lowerLetter"/>
      <w:lvlText w:val="%2."/>
      <w:lvlJc w:val="left"/>
      <w:pPr>
        <w:ind w:left="1440" w:hanging="360"/>
      </w:pPr>
    </w:lvl>
    <w:lvl w:ilvl="2" w:tplc="15604E40">
      <w:start w:val="1"/>
      <w:numFmt w:val="lowerRoman"/>
      <w:lvlText w:val="%3."/>
      <w:lvlJc w:val="right"/>
      <w:pPr>
        <w:ind w:left="2160" w:hanging="180"/>
      </w:pPr>
    </w:lvl>
    <w:lvl w:ilvl="3" w:tplc="517EA106">
      <w:start w:val="1"/>
      <w:numFmt w:val="decimal"/>
      <w:lvlText w:val="%4."/>
      <w:lvlJc w:val="left"/>
      <w:pPr>
        <w:ind w:left="2880" w:hanging="360"/>
      </w:pPr>
    </w:lvl>
    <w:lvl w:ilvl="4" w:tplc="160ADD8E">
      <w:start w:val="1"/>
      <w:numFmt w:val="lowerLetter"/>
      <w:lvlText w:val="%5."/>
      <w:lvlJc w:val="left"/>
      <w:pPr>
        <w:ind w:left="3600" w:hanging="360"/>
      </w:pPr>
    </w:lvl>
    <w:lvl w:ilvl="5" w:tplc="3064B43A">
      <w:start w:val="1"/>
      <w:numFmt w:val="lowerRoman"/>
      <w:lvlText w:val="%6."/>
      <w:lvlJc w:val="right"/>
      <w:pPr>
        <w:ind w:left="4320" w:hanging="180"/>
      </w:pPr>
    </w:lvl>
    <w:lvl w:ilvl="6" w:tplc="B4549E50">
      <w:start w:val="1"/>
      <w:numFmt w:val="decimal"/>
      <w:lvlText w:val="%7."/>
      <w:lvlJc w:val="left"/>
      <w:pPr>
        <w:ind w:left="5040" w:hanging="360"/>
      </w:pPr>
    </w:lvl>
    <w:lvl w:ilvl="7" w:tplc="DC262C92">
      <w:start w:val="1"/>
      <w:numFmt w:val="lowerLetter"/>
      <w:lvlText w:val="%8."/>
      <w:lvlJc w:val="left"/>
      <w:pPr>
        <w:ind w:left="5760" w:hanging="360"/>
      </w:pPr>
    </w:lvl>
    <w:lvl w:ilvl="8" w:tplc="2AE26A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2"/>
    <w:rsid w:val="00C63F42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B0291-127B-4180-A27E-0E93A79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721AAD"/>
    <w:pPr>
      <w:autoSpaceDE w:val="0"/>
      <w:autoSpaceDN w:val="0"/>
    </w:pPr>
    <w:rPr>
      <w:rFonts w:ascii="EUAlbertina" w:eastAsiaTheme="minorHAnsi" w:hAnsi="EUAlbertina" w:cs="Times New Roman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721AAD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721AAD"/>
  </w:style>
  <w:style w:type="paragraph" w:customStyle="1" w:styleId="CM1">
    <w:name w:val="CM1"/>
    <w:basedOn w:val="Default"/>
    <w:next w:val="Default"/>
    <w:uiPriority w:val="99"/>
    <w:rsid w:val="003877D7"/>
    <w:pPr>
      <w:adjustRightInd w:val="0"/>
    </w:pPr>
    <w:rPr>
      <w:rFonts w:ascii="Times New Roman" w:eastAsia="Times New Roman" w:hAnsi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877D7"/>
    <w:pPr>
      <w:adjustRightInd w:val="0"/>
    </w:pPr>
    <w:rPr>
      <w:rFonts w:ascii="Times New Roman" w:eastAsia="Times New Roman" w:hAnsi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3877D7"/>
    <w:pPr>
      <w:adjustRightInd w:val="0"/>
    </w:pPr>
    <w:rPr>
      <w:rFonts w:ascii="Times New Roman" w:eastAsia="Times New Roman" w:hAnsi="Times New Roman"/>
      <w:color w:val="auto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43DB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43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3D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3DB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Przemek Ośka</cp:lastModifiedBy>
  <cp:revision>2</cp:revision>
  <dcterms:created xsi:type="dcterms:W3CDTF">2021-03-15T13:20:00Z</dcterms:created>
  <dcterms:modified xsi:type="dcterms:W3CDTF">2021-03-15T13:20:00Z</dcterms:modified>
</cp:coreProperties>
</file>